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3C" w:rsidRPr="004E57BB" w:rsidRDefault="00541505" w:rsidP="00541505">
      <w:pPr>
        <w:jc w:val="center"/>
        <w:rPr>
          <w:rFonts w:ascii="標楷體" w:eastAsia="標楷體" w:hAnsi="標楷體" w:cs="____"/>
          <w:b/>
          <w:kern w:val="0"/>
          <w:sz w:val="36"/>
          <w:szCs w:val="36"/>
        </w:rPr>
      </w:pPr>
      <w:r w:rsidRPr="004E57BB">
        <w:rPr>
          <w:rFonts w:ascii="標楷體" w:eastAsia="標楷體" w:hAnsi="標楷體" w:cs="____" w:hint="eastAsia"/>
          <w:b/>
          <w:kern w:val="0"/>
          <w:sz w:val="36"/>
          <w:szCs w:val="36"/>
        </w:rPr>
        <w:t>用藥指導單張</w:t>
      </w:r>
    </w:p>
    <w:tbl>
      <w:tblPr>
        <w:tblStyle w:val="a5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432"/>
      </w:tblGrid>
      <w:tr w:rsidR="00B164F2" w:rsidTr="00F67971">
        <w:tc>
          <w:tcPr>
            <w:tcW w:w="4181" w:type="dxa"/>
          </w:tcPr>
          <w:p w:rsidR="00B164F2" w:rsidRPr="004A2E6F" w:rsidRDefault="00B164F2" w:rsidP="004A2E6F">
            <w:pPr>
              <w:autoSpaceDE w:val="0"/>
              <w:autoSpaceDN w:val="0"/>
              <w:adjustRightInd w:val="0"/>
              <w:ind w:left="8268" w:hangingChars="2950" w:hanging="8268"/>
              <w:rPr>
                <w:rFonts w:ascii="標楷體" w:eastAsia="標楷體" w:hAnsi="標楷體" w:cs="___"/>
                <w:b/>
                <w:kern w:val="0"/>
                <w:sz w:val="28"/>
                <w:szCs w:val="28"/>
              </w:rPr>
            </w:pPr>
            <w:r w:rsidRPr="004A2E6F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學　名：</w:t>
            </w:r>
            <w:r w:rsidRPr="004A2E6F">
              <w:rPr>
                <w:rFonts w:ascii="標楷體" w:eastAsia="標楷體" w:hAnsi="標楷體" w:cs="___"/>
                <w:b/>
                <w:kern w:val="0"/>
                <w:sz w:val="28"/>
                <w:szCs w:val="28"/>
              </w:rPr>
              <w:t>Rivaroxaban</w:t>
            </w:r>
            <w:r w:rsidRPr="004A2E6F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432" w:type="dxa"/>
            <w:vMerge w:val="restart"/>
          </w:tcPr>
          <w:p w:rsidR="00B164F2" w:rsidRDefault="00B164F2" w:rsidP="00F67971">
            <w:pPr>
              <w:autoSpaceDE w:val="0"/>
              <w:autoSpaceDN w:val="0"/>
              <w:adjustRightInd w:val="0"/>
              <w:ind w:rightChars="-327" w:right="-785" w:firstLineChars="650" w:firstLine="1560"/>
              <w:rPr>
                <w:rFonts w:ascii="標楷體" w:eastAsia="標楷體" w:hAnsi="標楷體" w:cs="___"/>
                <w:b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E35FAC" wp14:editId="2BDA01E8">
                  <wp:extent cx="2047874" cy="1295400"/>
                  <wp:effectExtent l="0" t="0" r="0" b="0"/>
                  <wp:docPr id="1" name="圖片 1" descr="「拜瑞妥膜衣錠10毫克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拜瑞妥膜衣錠10毫克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930" cy="129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4F2" w:rsidTr="00F67971">
        <w:tc>
          <w:tcPr>
            <w:tcW w:w="4181" w:type="dxa"/>
          </w:tcPr>
          <w:p w:rsidR="00B164F2" w:rsidRPr="004A2E6F" w:rsidRDefault="00B164F2" w:rsidP="004E57BB">
            <w:pPr>
              <w:autoSpaceDE w:val="0"/>
              <w:autoSpaceDN w:val="0"/>
              <w:adjustRightInd w:val="0"/>
              <w:rPr>
                <w:rFonts w:ascii="標楷體" w:eastAsia="標楷體" w:hAnsi="標楷體" w:cs="___"/>
                <w:b/>
                <w:kern w:val="0"/>
                <w:sz w:val="28"/>
                <w:szCs w:val="28"/>
              </w:rPr>
            </w:pPr>
            <w:r w:rsidRPr="004A2E6F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商品名：</w:t>
            </w:r>
            <w:r w:rsidRPr="004A2E6F">
              <w:rPr>
                <w:rFonts w:ascii="標楷體" w:eastAsia="標楷體" w:hAnsi="標楷體" w:cs="___"/>
                <w:b/>
                <w:kern w:val="0"/>
                <w:sz w:val="28"/>
                <w:szCs w:val="28"/>
              </w:rPr>
              <w:t>XARELTO F.C.1</w:t>
            </w:r>
            <w:r w:rsidRPr="004A2E6F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0</w:t>
            </w:r>
            <w:r w:rsidRPr="004A2E6F">
              <w:rPr>
                <w:rFonts w:ascii="標楷體" w:eastAsia="標楷體" w:hAnsi="標楷體" w:cs="___"/>
                <w:b/>
                <w:kern w:val="0"/>
                <w:sz w:val="28"/>
                <w:szCs w:val="28"/>
              </w:rPr>
              <w:t>MG</w:t>
            </w:r>
          </w:p>
        </w:tc>
        <w:tc>
          <w:tcPr>
            <w:tcW w:w="4432" w:type="dxa"/>
            <w:vMerge/>
          </w:tcPr>
          <w:p w:rsidR="00B164F2" w:rsidRDefault="00B164F2" w:rsidP="004E57BB">
            <w:pPr>
              <w:autoSpaceDE w:val="0"/>
              <w:autoSpaceDN w:val="0"/>
              <w:adjustRightInd w:val="0"/>
              <w:rPr>
                <w:rFonts w:ascii="標楷體" w:eastAsia="標楷體" w:hAnsi="標楷體" w:cs="___"/>
                <w:b/>
                <w:kern w:val="0"/>
                <w:szCs w:val="24"/>
              </w:rPr>
            </w:pPr>
          </w:p>
        </w:tc>
      </w:tr>
      <w:tr w:rsidR="00B164F2" w:rsidTr="00F67971">
        <w:tc>
          <w:tcPr>
            <w:tcW w:w="4181" w:type="dxa"/>
          </w:tcPr>
          <w:p w:rsidR="00B164F2" w:rsidRPr="004A2E6F" w:rsidRDefault="00B164F2" w:rsidP="004E57BB">
            <w:pPr>
              <w:autoSpaceDE w:val="0"/>
              <w:autoSpaceDN w:val="0"/>
              <w:adjustRightInd w:val="0"/>
              <w:rPr>
                <w:rFonts w:ascii="標楷體" w:eastAsia="標楷體" w:hAnsi="標楷體" w:cs="___"/>
                <w:b/>
                <w:kern w:val="0"/>
                <w:sz w:val="28"/>
                <w:szCs w:val="28"/>
              </w:rPr>
            </w:pPr>
            <w:r w:rsidRPr="004A2E6F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中文名：拜</w:t>
            </w:r>
            <w:proofErr w:type="gramStart"/>
            <w:r w:rsidRPr="004A2E6F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瑞妥膜衣錠</w:t>
            </w:r>
            <w:proofErr w:type="gramEnd"/>
          </w:p>
        </w:tc>
        <w:tc>
          <w:tcPr>
            <w:tcW w:w="4432" w:type="dxa"/>
            <w:vMerge/>
          </w:tcPr>
          <w:p w:rsidR="00B164F2" w:rsidRDefault="00B164F2" w:rsidP="004E57BB">
            <w:pPr>
              <w:autoSpaceDE w:val="0"/>
              <w:autoSpaceDN w:val="0"/>
              <w:adjustRightInd w:val="0"/>
              <w:rPr>
                <w:rFonts w:ascii="標楷體" w:eastAsia="標楷體" w:hAnsi="標楷體" w:cs="___"/>
                <w:b/>
                <w:kern w:val="0"/>
                <w:szCs w:val="24"/>
              </w:rPr>
            </w:pPr>
          </w:p>
        </w:tc>
      </w:tr>
    </w:tbl>
    <w:p w:rsidR="00541505" w:rsidRPr="004A2E6F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4A2E6F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一、此藥品的用途是什麼？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/>
          <w:kern w:val="0"/>
          <w:szCs w:val="24"/>
        </w:rPr>
        <w:t xml:space="preserve">1. </w:t>
      </w:r>
      <w:r w:rsidRPr="00541505">
        <w:rPr>
          <w:rFonts w:ascii="標楷體" w:eastAsia="標楷體" w:hAnsi="標楷體" w:cs="____" w:hint="eastAsia"/>
          <w:kern w:val="0"/>
          <w:szCs w:val="24"/>
        </w:rPr>
        <w:t>用於非瓣膜性心房顫動</w:t>
      </w:r>
      <w:r w:rsidRPr="00541505">
        <w:rPr>
          <w:rFonts w:ascii="標楷體" w:eastAsia="標楷體" w:hAnsi="標楷體" w:cs="____"/>
          <w:kern w:val="0"/>
          <w:szCs w:val="24"/>
        </w:rPr>
        <w:t>(non-</w:t>
      </w:r>
      <w:proofErr w:type="spellStart"/>
      <w:r w:rsidRPr="00541505">
        <w:rPr>
          <w:rFonts w:ascii="標楷體" w:eastAsia="標楷體" w:hAnsi="標楷體" w:cs="____"/>
          <w:kern w:val="0"/>
          <w:szCs w:val="24"/>
        </w:rPr>
        <w:t>valvular</w:t>
      </w:r>
      <w:proofErr w:type="spellEnd"/>
      <w:r w:rsidRPr="00541505">
        <w:rPr>
          <w:rFonts w:ascii="標楷體" w:eastAsia="標楷體" w:hAnsi="標楷體" w:cs="____"/>
          <w:kern w:val="0"/>
          <w:szCs w:val="24"/>
        </w:rPr>
        <w:t xml:space="preserve"> atrial fibrillation)</w:t>
      </w:r>
      <w:r w:rsidRPr="00541505">
        <w:rPr>
          <w:rFonts w:ascii="標楷體" w:eastAsia="標楷體" w:hAnsi="標楷體" w:cs="____" w:hint="eastAsia"/>
          <w:kern w:val="0"/>
          <w:szCs w:val="24"/>
        </w:rPr>
        <w:t>且有下列至少一項危險因子者成人病患，預防中風及全身性栓塞</w:t>
      </w:r>
      <w:r w:rsidRPr="00541505">
        <w:rPr>
          <w:rFonts w:ascii="標楷體" w:eastAsia="標楷體" w:hAnsi="標楷體" w:cs="____"/>
          <w:kern w:val="0"/>
          <w:szCs w:val="24"/>
        </w:rPr>
        <w:t>(systemic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/>
          <w:kern w:val="0"/>
          <w:szCs w:val="24"/>
        </w:rPr>
        <w:t>embolism)</w:t>
      </w:r>
      <w:r w:rsidRPr="00541505">
        <w:rPr>
          <w:rFonts w:ascii="標楷體" w:eastAsia="標楷體" w:hAnsi="標楷體" w:cs="____" w:hint="eastAsia"/>
          <w:kern w:val="0"/>
          <w:szCs w:val="24"/>
        </w:rPr>
        <w:t>。危險因子例如：心衰竭、高血壓、年齡大於等於</w:t>
      </w:r>
      <w:r w:rsidRPr="00541505">
        <w:rPr>
          <w:rFonts w:ascii="標楷體" w:eastAsia="標楷體" w:hAnsi="標楷體" w:cs="____"/>
          <w:kern w:val="0"/>
          <w:szCs w:val="24"/>
        </w:rPr>
        <w:t xml:space="preserve"> 75</w:t>
      </w:r>
      <w:r w:rsidRPr="00541505">
        <w:rPr>
          <w:rFonts w:ascii="標楷體" w:eastAsia="標楷體" w:hAnsi="標楷體" w:cs="____" w:hint="eastAsia"/>
          <w:kern w:val="0"/>
          <w:szCs w:val="24"/>
        </w:rPr>
        <w:t>歲、糖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尿病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、曾發生腦中風或短暫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性腦缺血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發作</w:t>
      </w:r>
      <w:r w:rsidRPr="00541505">
        <w:rPr>
          <w:rFonts w:ascii="標楷體" w:eastAsia="標楷體" w:hAnsi="標楷體" w:cs="____"/>
          <w:kern w:val="0"/>
          <w:szCs w:val="24"/>
        </w:rPr>
        <w:t>(transient ischemic attack)</w:t>
      </w:r>
      <w:r w:rsidRPr="00541505">
        <w:rPr>
          <w:rFonts w:ascii="標楷體" w:eastAsia="標楷體" w:hAnsi="標楷體" w:cs="____" w:hint="eastAsia"/>
          <w:kern w:val="0"/>
          <w:szCs w:val="24"/>
        </w:rPr>
        <w:t>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/>
          <w:kern w:val="0"/>
          <w:szCs w:val="24"/>
        </w:rPr>
        <w:t xml:space="preserve">2. </w:t>
      </w:r>
      <w:r w:rsidRPr="00541505">
        <w:rPr>
          <w:rFonts w:ascii="標楷體" w:eastAsia="標楷體" w:hAnsi="標楷體" w:cs="____" w:hint="eastAsia"/>
          <w:kern w:val="0"/>
          <w:szCs w:val="24"/>
        </w:rPr>
        <w:t>治療深部靜脈血栓與肺栓塞及預防再發性深部靜脈血栓與肺栓塞。</w:t>
      </w:r>
    </w:p>
    <w:p w:rsidR="00541505" w:rsidRPr="004A2E6F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4A2E6F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/>
          <w:kern w:val="0"/>
          <w:szCs w:val="24"/>
        </w:rPr>
        <w:t xml:space="preserve">1. </w:t>
      </w:r>
      <w:r w:rsidRPr="00541505">
        <w:rPr>
          <w:rFonts w:ascii="標楷體" w:eastAsia="標楷體" w:hAnsi="標楷體" w:cs="____" w:hint="eastAsia"/>
          <w:kern w:val="0"/>
          <w:szCs w:val="24"/>
        </w:rPr>
        <w:t>用於非瓣膜性心房顫動病患，預防中風及全身性栓塞。口服、應隨餐服用。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對於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肌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酸酐廓清率</w:t>
      </w:r>
      <w:r w:rsidRPr="00541505">
        <w:rPr>
          <w:rFonts w:ascii="標楷體" w:eastAsia="標楷體" w:hAnsi="標楷體" w:cs="____"/>
          <w:kern w:val="0"/>
          <w:szCs w:val="24"/>
        </w:rPr>
        <w:t>(</w:t>
      </w:r>
      <w:proofErr w:type="spellStart"/>
      <w:r w:rsidRPr="00541505">
        <w:rPr>
          <w:rFonts w:ascii="標楷體" w:eastAsia="標楷體" w:hAnsi="標楷體" w:cs="____"/>
          <w:kern w:val="0"/>
          <w:szCs w:val="24"/>
        </w:rPr>
        <w:t>CrCl</w:t>
      </w:r>
      <w:proofErr w:type="spellEnd"/>
      <w:r w:rsidRPr="00541505">
        <w:rPr>
          <w:rFonts w:ascii="標楷體" w:eastAsia="標楷體" w:hAnsi="標楷體" w:cs="____"/>
          <w:kern w:val="0"/>
          <w:szCs w:val="24"/>
        </w:rPr>
        <w:t xml:space="preserve">) &gt; 50 mL/min </w:t>
      </w:r>
      <w:r w:rsidRPr="00541505">
        <w:rPr>
          <w:rFonts w:ascii="標楷體" w:eastAsia="標楷體" w:hAnsi="標楷體" w:cs="____" w:hint="eastAsia"/>
          <w:kern w:val="0"/>
          <w:szCs w:val="24"/>
        </w:rPr>
        <w:t>的患者，建議的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拜瑞妥劑量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為口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服每天</w:t>
      </w:r>
      <w:r w:rsidRPr="00541505">
        <w:rPr>
          <w:rFonts w:ascii="標楷體" w:eastAsia="標楷體" w:hAnsi="標楷體" w:cs="____"/>
          <w:kern w:val="0"/>
          <w:szCs w:val="24"/>
        </w:rPr>
        <w:t xml:space="preserve">1 </w:t>
      </w:r>
      <w:r w:rsidRPr="00541505">
        <w:rPr>
          <w:rFonts w:ascii="標楷體" w:eastAsia="標楷體" w:hAnsi="標楷體" w:cs="____" w:hint="eastAsia"/>
          <w:kern w:val="0"/>
          <w:szCs w:val="24"/>
        </w:rPr>
        <w:t>次</w:t>
      </w:r>
      <w:r w:rsidRPr="00541505">
        <w:rPr>
          <w:rFonts w:ascii="標楷體" w:eastAsia="標楷體" w:hAnsi="標楷體" w:cs="____"/>
          <w:kern w:val="0"/>
          <w:szCs w:val="24"/>
        </w:rPr>
        <w:t xml:space="preserve">15 </w:t>
      </w:r>
      <w:r w:rsidRPr="00541505">
        <w:rPr>
          <w:rFonts w:ascii="標楷體" w:eastAsia="標楷體" w:hAnsi="標楷體" w:cs="____" w:hint="eastAsia"/>
          <w:kern w:val="0"/>
          <w:szCs w:val="24"/>
        </w:rPr>
        <w:t>毫克至</w:t>
      </w:r>
      <w:r w:rsidRPr="00541505">
        <w:rPr>
          <w:rFonts w:ascii="標楷體" w:eastAsia="標楷體" w:hAnsi="標楷體" w:cs="____"/>
          <w:kern w:val="0"/>
          <w:szCs w:val="24"/>
        </w:rPr>
        <w:t xml:space="preserve">20 </w:t>
      </w:r>
      <w:r w:rsidRPr="00541505">
        <w:rPr>
          <w:rFonts w:ascii="標楷體" w:eastAsia="標楷體" w:hAnsi="標楷體" w:cs="____" w:hint="eastAsia"/>
          <w:kern w:val="0"/>
          <w:szCs w:val="24"/>
        </w:rPr>
        <w:t>毫克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一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錠，於晚餐時服用。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肌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酸酐廓清率</w:t>
      </w:r>
      <w:r w:rsidRPr="00541505">
        <w:rPr>
          <w:rFonts w:ascii="標楷體" w:eastAsia="標楷體" w:hAnsi="標楷體" w:cs="____"/>
          <w:kern w:val="0"/>
          <w:szCs w:val="24"/>
        </w:rPr>
        <w:t>(</w:t>
      </w:r>
      <w:proofErr w:type="spellStart"/>
      <w:r w:rsidRPr="00541505">
        <w:rPr>
          <w:rFonts w:ascii="標楷體" w:eastAsia="標楷體" w:hAnsi="標楷體" w:cs="____"/>
          <w:kern w:val="0"/>
          <w:szCs w:val="24"/>
        </w:rPr>
        <w:t>CrCl</w:t>
      </w:r>
      <w:proofErr w:type="spellEnd"/>
      <w:r w:rsidRPr="00541505">
        <w:rPr>
          <w:rFonts w:ascii="標楷體" w:eastAsia="標楷體" w:hAnsi="標楷體" w:cs="____"/>
          <w:kern w:val="0"/>
          <w:szCs w:val="24"/>
        </w:rPr>
        <w:t>)</w:t>
      </w:r>
      <w:r w:rsidRPr="00541505">
        <w:rPr>
          <w:rFonts w:ascii="標楷體" w:eastAsia="標楷體" w:hAnsi="標楷體" w:cs="____" w:hint="eastAsia"/>
          <w:kern w:val="0"/>
          <w:szCs w:val="24"/>
        </w:rPr>
        <w:t>介於</w:t>
      </w:r>
      <w:r w:rsidRPr="00541505">
        <w:rPr>
          <w:rFonts w:ascii="標楷體" w:eastAsia="標楷體" w:hAnsi="標楷體" w:cs="____"/>
          <w:kern w:val="0"/>
          <w:szCs w:val="24"/>
        </w:rPr>
        <w:t xml:space="preserve">15 </w:t>
      </w:r>
      <w:r w:rsidRPr="00541505">
        <w:rPr>
          <w:rFonts w:ascii="標楷體" w:eastAsia="標楷體" w:hAnsi="標楷體" w:cs="____" w:hint="eastAsia"/>
          <w:kern w:val="0"/>
          <w:szCs w:val="24"/>
        </w:rPr>
        <w:t>至</w:t>
      </w:r>
      <w:r w:rsidRPr="00541505">
        <w:rPr>
          <w:rFonts w:ascii="標楷體" w:eastAsia="標楷體" w:hAnsi="標楷體" w:cs="____"/>
          <w:kern w:val="0"/>
          <w:szCs w:val="24"/>
        </w:rPr>
        <w:t xml:space="preserve">50 mL/min 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間的患者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，建議每天劑量</w:t>
      </w:r>
      <w:r w:rsidRPr="00541505">
        <w:rPr>
          <w:rFonts w:ascii="標楷體" w:eastAsia="標楷體" w:hAnsi="標楷體" w:cs="____"/>
          <w:kern w:val="0"/>
          <w:szCs w:val="24"/>
        </w:rPr>
        <w:t>1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次</w:t>
      </w:r>
      <w:r w:rsidRPr="00541505">
        <w:rPr>
          <w:rFonts w:ascii="標楷體" w:eastAsia="標楷體" w:hAnsi="標楷體" w:cs="____"/>
          <w:kern w:val="0"/>
          <w:szCs w:val="24"/>
        </w:rPr>
        <w:t xml:space="preserve">10 </w:t>
      </w:r>
      <w:r w:rsidRPr="00541505">
        <w:rPr>
          <w:rFonts w:ascii="標楷體" w:eastAsia="標楷體" w:hAnsi="標楷體" w:cs="____" w:hint="eastAsia"/>
          <w:kern w:val="0"/>
          <w:szCs w:val="24"/>
        </w:rPr>
        <w:t>毫克至</w:t>
      </w:r>
      <w:r w:rsidRPr="00541505">
        <w:rPr>
          <w:rFonts w:ascii="標楷體" w:eastAsia="標楷體" w:hAnsi="標楷體" w:cs="____"/>
          <w:kern w:val="0"/>
          <w:szCs w:val="24"/>
        </w:rPr>
        <w:t xml:space="preserve">15 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毫克，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於晚餐時服用，其中</w:t>
      </w:r>
      <w:proofErr w:type="spellStart"/>
      <w:r w:rsidRPr="00541505">
        <w:rPr>
          <w:rFonts w:ascii="標楷體" w:eastAsia="標楷體" w:hAnsi="標楷體" w:cs="____"/>
          <w:kern w:val="0"/>
          <w:szCs w:val="24"/>
        </w:rPr>
        <w:t>CrCl</w:t>
      </w:r>
      <w:proofErr w:type="spellEnd"/>
      <w:r w:rsidRPr="00541505">
        <w:rPr>
          <w:rFonts w:ascii="標楷體" w:eastAsia="標楷體" w:hAnsi="標楷體" w:cs="____"/>
          <w:kern w:val="0"/>
          <w:szCs w:val="24"/>
        </w:rPr>
        <w:t xml:space="preserve"> </w:t>
      </w:r>
      <w:r w:rsidRPr="00541505">
        <w:rPr>
          <w:rFonts w:ascii="標楷體" w:eastAsia="標楷體" w:hAnsi="標楷體" w:cs="____" w:hint="eastAsia"/>
          <w:kern w:val="0"/>
          <w:szCs w:val="24"/>
        </w:rPr>
        <w:t>小於</w:t>
      </w:r>
      <w:r w:rsidRPr="00541505">
        <w:rPr>
          <w:rFonts w:ascii="標楷體" w:eastAsia="標楷體" w:hAnsi="標楷體" w:cs="____"/>
          <w:kern w:val="0"/>
          <w:szCs w:val="24"/>
        </w:rPr>
        <w:t xml:space="preserve">30 </w:t>
      </w:r>
      <w:r w:rsidRPr="00541505">
        <w:rPr>
          <w:rFonts w:ascii="標楷體" w:eastAsia="標楷體" w:hAnsi="標楷體" w:cs="____" w:hint="eastAsia"/>
          <w:kern w:val="0"/>
          <w:szCs w:val="24"/>
        </w:rPr>
        <w:t>至</w:t>
      </w:r>
      <w:r w:rsidRPr="00541505">
        <w:rPr>
          <w:rFonts w:ascii="標楷體" w:eastAsia="標楷體" w:hAnsi="標楷體" w:cs="____"/>
          <w:kern w:val="0"/>
          <w:szCs w:val="24"/>
        </w:rPr>
        <w:t xml:space="preserve">15 mL/min </w:t>
      </w:r>
      <w:r w:rsidRPr="00541505">
        <w:rPr>
          <w:rFonts w:ascii="標楷體" w:eastAsia="標楷體" w:hAnsi="標楷體" w:cs="____" w:hint="eastAsia"/>
          <w:kern w:val="0"/>
          <w:szCs w:val="24"/>
        </w:rPr>
        <w:t>間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的患者應謹慎使用。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/>
          <w:kern w:val="0"/>
          <w:szCs w:val="24"/>
        </w:rPr>
        <w:t xml:space="preserve">2. </w:t>
      </w:r>
      <w:r w:rsidRPr="00541505">
        <w:rPr>
          <w:rFonts w:ascii="標楷體" w:eastAsia="標楷體" w:hAnsi="標楷體" w:cs="____" w:hint="eastAsia"/>
          <w:kern w:val="0"/>
          <w:szCs w:val="24"/>
        </w:rPr>
        <w:t>治療深部靜脈血栓與肺栓塞及預防再發性深部靜脈血栓與肺栓塞。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急性深部靜脈血栓與肺栓塞的起始治療建議劑量是在前三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週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每日兩次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拜瑞妥</w:t>
      </w:r>
      <w:proofErr w:type="gramEnd"/>
      <w:r w:rsidRPr="00541505">
        <w:rPr>
          <w:rFonts w:ascii="標楷體" w:eastAsia="標楷體" w:hAnsi="標楷體" w:cs="____"/>
          <w:kern w:val="0"/>
          <w:szCs w:val="24"/>
        </w:rPr>
        <w:t xml:space="preserve">15 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毫克，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接著每日一次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拜瑞妥</w:t>
      </w:r>
      <w:r w:rsidRPr="00541505">
        <w:rPr>
          <w:rFonts w:ascii="標楷體" w:eastAsia="標楷體" w:hAnsi="標楷體" w:cs="____"/>
          <w:kern w:val="0"/>
          <w:szCs w:val="24"/>
        </w:rPr>
        <w:t>20</w:t>
      </w:r>
      <w:r w:rsidRPr="00541505">
        <w:rPr>
          <w:rFonts w:ascii="標楷體" w:eastAsia="標楷體" w:hAnsi="標楷體" w:cs="____" w:hint="eastAsia"/>
          <w:kern w:val="0"/>
          <w:szCs w:val="24"/>
        </w:rPr>
        <w:t>毫克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，作為持續性治療以及預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防再發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性深部靜脈血栓與肺栓塞。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/>
          <w:kern w:val="0"/>
          <w:szCs w:val="24"/>
        </w:rPr>
        <w:t xml:space="preserve">3. Rivaroxaban </w:t>
      </w:r>
      <w:r w:rsidRPr="00541505">
        <w:rPr>
          <w:rFonts w:ascii="標楷體" w:eastAsia="標楷體" w:hAnsi="標楷體" w:cs="____" w:hint="eastAsia"/>
          <w:kern w:val="0"/>
          <w:szCs w:val="24"/>
        </w:rPr>
        <w:t>用於靜脈血栓高危險群</w:t>
      </w:r>
      <w:r w:rsidRPr="00541505">
        <w:rPr>
          <w:rFonts w:ascii="標楷體" w:eastAsia="標楷體" w:hAnsi="標楷體" w:cs="____"/>
          <w:kern w:val="0"/>
          <w:szCs w:val="24"/>
        </w:rPr>
        <w:t>(</w:t>
      </w:r>
      <w:r w:rsidRPr="00541505">
        <w:rPr>
          <w:rFonts w:ascii="標楷體" w:eastAsia="標楷體" w:hAnsi="標楷體" w:cs="____" w:hint="eastAsia"/>
          <w:kern w:val="0"/>
          <w:szCs w:val="24"/>
        </w:rPr>
        <w:t>曾發生有症狀之靜脈血栓症</w:t>
      </w:r>
      <w:r w:rsidRPr="00541505">
        <w:rPr>
          <w:rFonts w:ascii="標楷體" w:eastAsia="標楷體" w:hAnsi="標楷體" w:cs="____"/>
          <w:kern w:val="0"/>
          <w:szCs w:val="24"/>
        </w:rPr>
        <w:t>)</w:t>
      </w:r>
      <w:r w:rsidRPr="00541505">
        <w:rPr>
          <w:rFonts w:ascii="標楷體" w:eastAsia="標楷體" w:hAnsi="標楷體" w:cs="____" w:hint="eastAsia"/>
          <w:kern w:val="0"/>
          <w:szCs w:val="24"/>
        </w:rPr>
        <w:t>病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患，以預防其於接受下肢重大骨科手術後之靜脈血栓栓塞症</w:t>
      </w:r>
      <w:r w:rsidRPr="00541505">
        <w:rPr>
          <w:rFonts w:ascii="標楷體" w:eastAsia="標楷體" w:hAnsi="標楷體" w:cs="____"/>
          <w:kern w:val="0"/>
          <w:szCs w:val="24"/>
        </w:rPr>
        <w:t>(VTE)</w:t>
      </w:r>
      <w:r w:rsidRPr="00541505">
        <w:rPr>
          <w:rFonts w:ascii="標楷體" w:eastAsia="標楷體" w:hAnsi="標楷體" w:cs="____" w:hint="eastAsia"/>
          <w:kern w:val="0"/>
          <w:szCs w:val="24"/>
        </w:rPr>
        <w:t>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每天一次服用</w:t>
      </w:r>
      <w:r w:rsidRPr="00541505">
        <w:rPr>
          <w:rFonts w:ascii="標楷體" w:eastAsia="標楷體" w:hAnsi="標楷體" w:cs="____"/>
          <w:kern w:val="0"/>
          <w:szCs w:val="24"/>
        </w:rPr>
        <w:t xml:space="preserve">10 </w:t>
      </w:r>
      <w:r w:rsidRPr="00541505">
        <w:rPr>
          <w:rFonts w:ascii="標楷體" w:eastAsia="標楷體" w:hAnsi="標楷體" w:cs="____" w:hint="eastAsia"/>
          <w:kern w:val="0"/>
          <w:szCs w:val="24"/>
        </w:rPr>
        <w:t>毫克的本品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一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錠。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本品可空腹投予或是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與食物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併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服。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一旦確定止血，應於手術後</w:t>
      </w:r>
      <w:r w:rsidRPr="00541505">
        <w:rPr>
          <w:rFonts w:ascii="標楷體" w:eastAsia="標楷體" w:hAnsi="標楷體" w:cs="____"/>
          <w:kern w:val="0"/>
          <w:szCs w:val="24"/>
        </w:rPr>
        <w:t xml:space="preserve">6-10 </w:t>
      </w:r>
      <w:r w:rsidRPr="00541505">
        <w:rPr>
          <w:rFonts w:ascii="標楷體" w:eastAsia="標楷體" w:hAnsi="標楷體" w:cs="____" w:hint="eastAsia"/>
          <w:kern w:val="0"/>
          <w:szCs w:val="24"/>
        </w:rPr>
        <w:t>小時內服用第一劑。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若病患忘記服藥，應立即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服用本品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，並於次日依例每天服用一次。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詳細的使用方式請遵從藥袋上用法用量醫師的指示。一般來說這個藥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品的使用方式如下：</w:t>
      </w:r>
    </w:p>
    <w:p w:rsidR="00541505" w:rsidRPr="004A2E6F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4A2E6F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三、使用時我該注意的特別事項？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請確實遵照醫囑使用</w:t>
      </w:r>
      <w:r w:rsidRPr="00541505">
        <w:rPr>
          <w:rFonts w:ascii="標楷體" w:eastAsia="標楷體" w:hAnsi="標楷體" w:cs="____"/>
          <w:kern w:val="0"/>
          <w:szCs w:val="24"/>
        </w:rPr>
        <w:t xml:space="preserve">, </w:t>
      </w:r>
      <w:r w:rsidRPr="00541505">
        <w:rPr>
          <w:rFonts w:ascii="標楷體" w:eastAsia="標楷體" w:hAnsi="標楷體" w:cs="____" w:hint="eastAsia"/>
          <w:kern w:val="0"/>
          <w:szCs w:val="24"/>
        </w:rPr>
        <w:t>切勿擅自增減藥量或停藥</w:t>
      </w:r>
      <w:r w:rsidRPr="00541505">
        <w:rPr>
          <w:rFonts w:ascii="標楷體" w:eastAsia="標楷體" w:hAnsi="標楷體" w:cs="____"/>
          <w:kern w:val="0"/>
          <w:szCs w:val="24"/>
        </w:rPr>
        <w:t xml:space="preserve">, </w:t>
      </w:r>
      <w:r w:rsidRPr="00541505">
        <w:rPr>
          <w:rFonts w:ascii="標楷體" w:eastAsia="標楷體" w:hAnsi="標楷體" w:cs="____" w:hint="eastAsia"/>
          <w:kern w:val="0"/>
          <w:szCs w:val="24"/>
        </w:rPr>
        <w:t>並請按時回診</w:t>
      </w:r>
    </w:p>
    <w:p w:rsidR="00541505" w:rsidRPr="004A2E6F" w:rsidRDefault="00541505" w:rsidP="00541505">
      <w:pPr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4A2E6F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541505" w:rsidRPr="00964ACB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964ACB">
        <w:rPr>
          <w:rFonts w:ascii="標楷體" w:eastAsia="標楷體" w:hAnsi="標楷體" w:cs="____"/>
          <w:b/>
          <w:kern w:val="0"/>
          <w:szCs w:val="24"/>
        </w:rPr>
        <w:t xml:space="preserve">C </w:t>
      </w:r>
      <w:r w:rsidRPr="00964ACB">
        <w:rPr>
          <w:rFonts w:ascii="標楷體" w:eastAsia="標楷體" w:hAnsi="標楷體" w:cs="____" w:hint="eastAsia"/>
          <w:b/>
          <w:kern w:val="0"/>
          <w:szCs w:val="24"/>
        </w:rPr>
        <w:t>級：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只有在可能的利益大於潛在的危</w:t>
      </w:r>
    </w:p>
    <w:p w:rsidR="00541505" w:rsidRP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541505">
        <w:rPr>
          <w:rFonts w:ascii="標楷體" w:eastAsia="標楷體" w:hAnsi="標楷體" w:cs="____" w:hint="eastAsia"/>
          <w:kern w:val="0"/>
          <w:szCs w:val="24"/>
        </w:rPr>
        <w:t>險，才可使用此藥物。</w:t>
      </w:r>
    </w:p>
    <w:p w:rsidR="00541505" w:rsidRPr="004A2E6F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bookmarkStart w:id="0" w:name="_GoBack"/>
      <w:r w:rsidRPr="004A2E6F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bookmarkEnd w:id="0"/>
    <w:p w:rsidR="00541505" w:rsidRDefault="00541505" w:rsidP="00541505">
      <w:pPr>
        <w:autoSpaceDE w:val="0"/>
        <w:autoSpaceDN w:val="0"/>
        <w:adjustRightInd w:val="0"/>
        <w:rPr>
          <w:rFonts w:ascii="標楷體" w:eastAsia="標楷體" w:hAnsi="標楷體" w:cs="____" w:hint="eastAsia"/>
          <w:kern w:val="0"/>
          <w:szCs w:val="24"/>
        </w:rPr>
      </w:pP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本品會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增加出血風險而且可能造成嚴重或致命出血，應審慎評估病患出血症狀</w:t>
      </w:r>
      <w:r w:rsidRPr="00541505">
        <w:rPr>
          <w:rFonts w:ascii="標楷體" w:eastAsia="標楷體" w:hAnsi="標楷體" w:cs="____"/>
          <w:kern w:val="0"/>
          <w:szCs w:val="24"/>
        </w:rPr>
        <w:t>/</w:t>
      </w:r>
      <w:r w:rsidRPr="00541505">
        <w:rPr>
          <w:rFonts w:ascii="標楷體" w:eastAsia="標楷體" w:hAnsi="標楷體" w:cs="____" w:hint="eastAsia"/>
          <w:kern w:val="0"/>
          <w:szCs w:val="24"/>
        </w:rPr>
        <w:t>徵兆，追蹤血紅素等試驗檢查，當有進行性病理出血時應停</w:t>
      </w:r>
      <w:proofErr w:type="gramStart"/>
      <w:r w:rsidRPr="00541505">
        <w:rPr>
          <w:rFonts w:ascii="標楷體" w:eastAsia="標楷體" w:hAnsi="標楷體" w:cs="____" w:hint="eastAsia"/>
          <w:kern w:val="0"/>
          <w:szCs w:val="24"/>
        </w:rPr>
        <w:t>用本品</w:t>
      </w:r>
      <w:proofErr w:type="gramEnd"/>
      <w:r w:rsidRPr="00541505">
        <w:rPr>
          <w:rFonts w:ascii="標楷體" w:eastAsia="標楷體" w:hAnsi="標楷體" w:cs="____" w:hint="eastAsia"/>
          <w:kern w:val="0"/>
          <w:szCs w:val="24"/>
        </w:rPr>
        <w:t>。</w:t>
      </w:r>
    </w:p>
    <w:p w:rsidR="00F67971" w:rsidRDefault="00F67971" w:rsidP="00F67971">
      <w:pPr>
        <w:ind w:leftChars="2050" w:left="5160" w:hangingChars="100" w:hanging="240"/>
        <w:rPr>
          <w:rFonts w:ascii="標楷體" w:eastAsia="標楷體" w:hAnsi="標楷體" w:cs="新細明體"/>
          <w:b/>
          <w:bCs/>
          <w:kern w:val="36"/>
          <w:szCs w:val="24"/>
        </w:rPr>
      </w:pPr>
      <w:r>
        <w:rPr>
          <w:rFonts w:ascii="標楷體" w:eastAsia="標楷體" w:hAnsi="標楷體" w:cs="____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b/>
        </w:rPr>
        <w:t>諮詢電話：07-7613111轉1119</w:t>
      </w:r>
      <w:r>
        <w:rPr>
          <w:rFonts w:ascii="標楷體" w:eastAsia="標楷體" w:hAnsi="標楷體" w:cs="新細明體" w:hint="eastAsia"/>
          <w:b/>
          <w:bCs/>
          <w:kern w:val="36"/>
          <w:szCs w:val="24"/>
        </w:rPr>
        <w:t xml:space="preserve"> </w:t>
      </w:r>
    </w:p>
    <w:p w:rsidR="00541505" w:rsidRDefault="00BF7CA6" w:rsidP="00F67971">
      <w:pPr>
        <w:ind w:right="120"/>
        <w:jc w:val="right"/>
        <w:rPr>
          <w:rFonts w:ascii="標楷體" w:eastAsia="標楷體" w:hAnsi="標楷體" w:hint="eastAsia"/>
          <w:b/>
        </w:rPr>
      </w:pPr>
      <w:r w:rsidRPr="00BF7CA6">
        <w:rPr>
          <w:rFonts w:ascii="標楷體" w:eastAsia="標楷體" w:hAnsi="標楷體" w:hint="eastAsia"/>
          <w:b/>
        </w:rPr>
        <w:t>杏和醫院 藥劑科關心您</w:t>
      </w:r>
    </w:p>
    <w:p w:rsidR="00F67971" w:rsidRPr="00BF7CA6" w:rsidRDefault="00F67971" w:rsidP="00BF7CA6">
      <w:pPr>
        <w:jc w:val="right"/>
        <w:rPr>
          <w:rFonts w:ascii="標楷體" w:eastAsia="標楷體" w:hAnsi="標楷體"/>
          <w:b/>
        </w:rPr>
      </w:pPr>
    </w:p>
    <w:sectPr w:rsidR="00F67971" w:rsidRPr="00BF7CA6" w:rsidSect="00BF7CA6">
      <w:pgSz w:w="11906" w:h="16838"/>
      <w:pgMar w:top="284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AB" w:rsidRDefault="005559AB" w:rsidP="00F67971">
      <w:r>
        <w:separator/>
      </w:r>
    </w:p>
  </w:endnote>
  <w:endnote w:type="continuationSeparator" w:id="0">
    <w:p w:rsidR="005559AB" w:rsidRDefault="005559AB" w:rsidP="00F6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AB" w:rsidRDefault="005559AB" w:rsidP="00F67971">
      <w:r>
        <w:separator/>
      </w:r>
    </w:p>
  </w:footnote>
  <w:footnote w:type="continuationSeparator" w:id="0">
    <w:p w:rsidR="005559AB" w:rsidRDefault="005559AB" w:rsidP="00F6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05"/>
    <w:rsid w:val="0012793C"/>
    <w:rsid w:val="004A2E6F"/>
    <w:rsid w:val="004E57BB"/>
    <w:rsid w:val="00541505"/>
    <w:rsid w:val="005559AB"/>
    <w:rsid w:val="00964ACB"/>
    <w:rsid w:val="00B164F2"/>
    <w:rsid w:val="00BF7CA6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7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9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9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7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9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871</Characters>
  <Application>Microsoft Office Word</Application>
  <DocSecurity>0</DocSecurity>
  <Lines>7</Lines>
  <Paragraphs>2</Paragraphs>
  <ScaleCrop>false</ScaleCrop>
  <Company>SYNNEX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2018-08-15T06:30:00Z</cp:lastPrinted>
  <dcterms:created xsi:type="dcterms:W3CDTF">2018-08-02T04:55:00Z</dcterms:created>
  <dcterms:modified xsi:type="dcterms:W3CDTF">2018-08-15T06:32:00Z</dcterms:modified>
</cp:coreProperties>
</file>