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38" w:rsidRDefault="003A65DE" w:rsidP="003A65DE">
      <w:pPr>
        <w:jc w:val="center"/>
        <w:rPr>
          <w:rFonts w:ascii="標楷體" w:eastAsia="標楷體" w:hAnsi="標楷體" w:cs="____"/>
          <w:b/>
          <w:kern w:val="0"/>
          <w:sz w:val="32"/>
          <w:szCs w:val="32"/>
        </w:rPr>
      </w:pPr>
      <w:r w:rsidRPr="003A65DE">
        <w:rPr>
          <w:rFonts w:ascii="標楷體" w:eastAsia="標楷體" w:hAnsi="標楷體" w:cs="____" w:hint="eastAsia"/>
          <w:b/>
          <w:kern w:val="0"/>
          <w:sz w:val="32"/>
          <w:szCs w:val="32"/>
        </w:rPr>
        <w:t>用藥指導單張</w:t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3544"/>
      </w:tblGrid>
      <w:tr w:rsidR="003A65DE" w:rsidTr="007E7449">
        <w:tc>
          <w:tcPr>
            <w:tcW w:w="1668" w:type="dxa"/>
          </w:tcPr>
          <w:p w:rsidR="003A65DE" w:rsidRPr="003A65DE" w:rsidRDefault="003A65DE" w:rsidP="003A65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學  名：</w:t>
            </w:r>
          </w:p>
        </w:tc>
        <w:tc>
          <w:tcPr>
            <w:tcW w:w="3827" w:type="dxa"/>
          </w:tcPr>
          <w:p w:rsidR="003A65DE" w:rsidRPr="003A65DE" w:rsidRDefault="006F6776" w:rsidP="006F6776">
            <w:pPr>
              <w:pStyle w:val="2"/>
              <w:jc w:val="left"/>
            </w:pPr>
            <w:r w:rsidRPr="006F6776">
              <w:t xml:space="preserve">Norepinephrine </w:t>
            </w:r>
          </w:p>
        </w:tc>
        <w:tc>
          <w:tcPr>
            <w:tcW w:w="3544" w:type="dxa"/>
            <w:vMerge w:val="restart"/>
          </w:tcPr>
          <w:p w:rsidR="003A65DE" w:rsidRDefault="007E7449" w:rsidP="006F7202">
            <w:pPr>
              <w:ind w:rightChars="-385" w:right="-924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23E97D74" wp14:editId="4F7E8C1A">
                  <wp:extent cx="2667000" cy="1714500"/>
                  <wp:effectExtent l="0" t="0" r="0" b="0"/>
                  <wp:docPr id="4" name="圖片 4" descr="D:\INOR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NOR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5DE" w:rsidTr="007E7449">
        <w:tc>
          <w:tcPr>
            <w:tcW w:w="1668" w:type="dxa"/>
          </w:tcPr>
          <w:p w:rsidR="003A65DE" w:rsidRPr="003A65DE" w:rsidRDefault="003A65DE" w:rsidP="003A65D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商品名：</w:t>
            </w:r>
          </w:p>
        </w:tc>
        <w:tc>
          <w:tcPr>
            <w:tcW w:w="3827" w:type="dxa"/>
          </w:tcPr>
          <w:p w:rsidR="003A65DE" w:rsidRPr="003A65DE" w:rsidRDefault="006F6776" w:rsidP="006F6776">
            <w:pPr>
              <w:pStyle w:val="1"/>
              <w:rPr>
                <w:rFonts w:ascii="標楷體" w:eastAsia="標楷體" w:hAnsi="標楷體"/>
              </w:rPr>
            </w:pPr>
            <w:r w:rsidRPr="006F6776">
              <w:t>Norepinephrine injection</w:t>
            </w:r>
            <w:r>
              <w:rPr>
                <w:rFonts w:hint="eastAsia"/>
              </w:rPr>
              <w:t xml:space="preserve"> </w:t>
            </w:r>
            <w:r w:rsidRPr="006F6776">
              <w:t>4mg/4ml</w:t>
            </w:r>
          </w:p>
        </w:tc>
        <w:tc>
          <w:tcPr>
            <w:tcW w:w="3544" w:type="dxa"/>
            <w:vMerge/>
          </w:tcPr>
          <w:p w:rsid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65DE" w:rsidTr="007E7449">
        <w:tc>
          <w:tcPr>
            <w:tcW w:w="1668" w:type="dxa"/>
          </w:tcPr>
          <w:p w:rsidR="003A65DE" w:rsidRPr="003A65DE" w:rsidRDefault="003A65DE" w:rsidP="00C629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5DE">
              <w:rPr>
                <w:rFonts w:ascii="標楷體" w:eastAsia="標楷體" w:hAnsi="標楷體" w:cs="___" w:hint="eastAsia"/>
                <w:b/>
                <w:kern w:val="0"/>
                <w:sz w:val="28"/>
                <w:szCs w:val="28"/>
              </w:rPr>
              <w:t>中文名：</w:t>
            </w:r>
          </w:p>
        </w:tc>
        <w:tc>
          <w:tcPr>
            <w:tcW w:w="3827" w:type="dxa"/>
          </w:tcPr>
          <w:p w:rsidR="003A65DE" w:rsidRPr="00EC0622" w:rsidRDefault="007E7449" w:rsidP="00C629A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449">
              <w:rPr>
                <w:rFonts w:ascii="標楷體" w:eastAsia="標楷體" w:hAnsi="標楷體" w:hint="eastAsia"/>
                <w:b/>
                <w:sz w:val="28"/>
                <w:szCs w:val="28"/>
              </w:rPr>
              <w:t>諾安得理那寧注射劑"</w:t>
            </w:r>
          </w:p>
        </w:tc>
        <w:tc>
          <w:tcPr>
            <w:tcW w:w="3544" w:type="dxa"/>
            <w:vMerge/>
          </w:tcPr>
          <w:p w:rsidR="003A65DE" w:rsidRDefault="003A65DE" w:rsidP="003A65D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一、</w:t>
      </w:r>
      <w:r w:rsidR="00CA6CAB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適應症</w:t>
      </w:r>
    </w:p>
    <w:p w:rsidR="007E7449" w:rsidRPr="007E7449" w:rsidRDefault="007E7449" w:rsidP="003A65DE">
      <w:pPr>
        <w:autoSpaceDE w:val="0"/>
        <w:autoSpaceDN w:val="0"/>
        <w:adjustRightInd w:val="0"/>
        <w:rPr>
          <w:rFonts w:ascii="標楷體" w:eastAsia="標楷體" w:hAnsi="標楷體" w:hint="eastAsia"/>
          <w:sz w:val="26"/>
          <w:szCs w:val="26"/>
        </w:rPr>
      </w:pPr>
      <w:r w:rsidRPr="007E7449">
        <w:rPr>
          <w:rFonts w:ascii="標楷體" w:eastAsia="標楷體" w:hAnsi="標楷體"/>
          <w:sz w:val="26"/>
          <w:szCs w:val="26"/>
        </w:rPr>
        <w:t>急性低血壓、心跳停止。</w:t>
      </w:r>
    </w:p>
    <w:p w:rsidR="003A65DE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二、此藥品該如何使用？</w:t>
      </w:r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  <w:highlight w:val="yellow"/>
          <w:shd w:val="pct15" w:color="auto" w:fill="FFFFFF"/>
        </w:rPr>
        <w:t>(※</w:t>
      </w:r>
      <w:proofErr w:type="gramStart"/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  <w:highlight w:val="yellow"/>
          <w:shd w:val="pct15" w:color="auto" w:fill="FFFFFF"/>
        </w:rPr>
        <w:t>本藥為</w:t>
      </w:r>
      <w:proofErr w:type="gramEnd"/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  <w:highlight w:val="yellow"/>
          <w:shd w:val="pct15" w:color="auto" w:fill="FFFFFF"/>
        </w:rPr>
        <w:t>需</w:t>
      </w:r>
      <w:r w:rsidR="00CA6CAB" w:rsidRPr="004328B9">
        <w:rPr>
          <w:rFonts w:ascii="標楷體" w:eastAsia="標楷體" w:hAnsi="標楷體" w:hint="eastAsia"/>
          <w:b/>
          <w:color w:val="FF0000"/>
          <w:highlight w:val="yellow"/>
          <w:shd w:val="pct15" w:color="auto" w:fill="FFFFFF"/>
        </w:rPr>
        <w:t>使用輸液幫浦之高警訊藥物</w:t>
      </w:r>
      <w:r w:rsidR="004328B9" w:rsidRPr="004328B9">
        <w:rPr>
          <w:rFonts w:ascii="標楷體" w:eastAsia="標楷體" w:hAnsi="標楷體" w:hint="eastAsia"/>
          <w:b/>
          <w:color w:val="FF0000"/>
          <w:highlight w:val="yellow"/>
          <w:shd w:val="pct15" w:color="auto" w:fill="FFFFFF"/>
        </w:rPr>
        <w:t>)</w:t>
      </w:r>
      <w:r w:rsidR="00CA6CAB" w:rsidRPr="004328B9">
        <w:rPr>
          <w:rFonts w:ascii="標楷體" w:eastAsia="標楷體" w:hAnsi="標楷體" w:cs="____" w:hint="eastAsia"/>
          <w:b/>
          <w:color w:val="FF0000"/>
          <w:kern w:val="0"/>
          <w:szCs w:val="24"/>
        </w:rPr>
        <w:t xml:space="preserve"> </w:t>
      </w:r>
      <w:r w:rsidR="00CA6CAB" w:rsidRPr="004328B9">
        <w:rPr>
          <w:rFonts w:ascii="標楷體" w:eastAsia="標楷體" w:hAnsi="標楷體" w:cs="____" w:hint="eastAsia"/>
          <w:b/>
          <w:kern w:val="0"/>
          <w:szCs w:val="24"/>
        </w:rPr>
        <w:t xml:space="preserve">           </w:t>
      </w:r>
      <w:r w:rsidR="00CA6CAB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 xml:space="preserve">  </w:t>
      </w:r>
    </w:p>
    <w:p w:rsidR="007E7449" w:rsidRPr="007E7449" w:rsidRDefault="007E7449" w:rsidP="003A65DE">
      <w:pPr>
        <w:autoSpaceDE w:val="0"/>
        <w:autoSpaceDN w:val="0"/>
        <w:adjustRightInd w:val="0"/>
        <w:rPr>
          <w:rFonts w:ascii="標楷體" w:eastAsia="標楷體" w:hAnsi="標楷體" w:hint="eastAsia"/>
          <w:color w:val="FF0000"/>
          <w:sz w:val="26"/>
          <w:szCs w:val="26"/>
        </w:rPr>
      </w:pPr>
      <w:r w:rsidRPr="007E7449">
        <w:rPr>
          <w:rFonts w:ascii="標楷體" w:eastAsia="標楷體" w:hAnsi="標楷體"/>
          <w:sz w:val="26"/>
          <w:szCs w:val="26"/>
        </w:rPr>
        <w:t xml:space="preserve">Norepinephrine </w:t>
      </w:r>
      <w:proofErr w:type="spellStart"/>
      <w:r w:rsidRPr="007E7449">
        <w:rPr>
          <w:rFonts w:ascii="標楷體" w:eastAsia="標楷體" w:hAnsi="標楷體"/>
          <w:sz w:val="26"/>
          <w:szCs w:val="26"/>
        </w:rPr>
        <w:t>bitartrate</w:t>
      </w:r>
      <w:proofErr w:type="spellEnd"/>
      <w:proofErr w:type="gramStart"/>
      <w:r w:rsidRPr="007E7449">
        <w:rPr>
          <w:rFonts w:ascii="標楷體" w:eastAsia="標楷體" w:hAnsi="標楷體"/>
          <w:sz w:val="26"/>
          <w:szCs w:val="26"/>
        </w:rPr>
        <w:t>注射液是一種</w:t>
      </w:r>
      <w:proofErr w:type="gramEnd"/>
      <w:r w:rsidRPr="007E7449">
        <w:rPr>
          <w:rFonts w:ascii="標楷體" w:eastAsia="標楷體" w:hAnsi="標楷體"/>
          <w:sz w:val="26"/>
          <w:szCs w:val="26"/>
        </w:rPr>
        <w:t>強效性的濃縮藥物，</w:t>
      </w:r>
      <w:proofErr w:type="gramStart"/>
      <w:r w:rsidRPr="007E7449">
        <w:rPr>
          <w:rFonts w:ascii="標楷體" w:eastAsia="標楷體" w:hAnsi="標楷體"/>
          <w:color w:val="FF0000"/>
          <w:sz w:val="26"/>
          <w:szCs w:val="26"/>
        </w:rPr>
        <w:t>輸注前</w:t>
      </w:r>
      <w:proofErr w:type="gramEnd"/>
      <w:r w:rsidRPr="007E7449">
        <w:rPr>
          <w:rFonts w:ascii="標楷體" w:eastAsia="標楷體" w:hAnsi="標楷體"/>
          <w:color w:val="FF0000"/>
          <w:sz w:val="26"/>
          <w:szCs w:val="26"/>
        </w:rPr>
        <w:t>先用 含葡萄糖溶液稀釋，</w:t>
      </w:r>
      <w:proofErr w:type="gramStart"/>
      <w:r w:rsidRPr="007E7449">
        <w:rPr>
          <w:rFonts w:ascii="標楷體" w:eastAsia="標楷體" w:hAnsi="標楷體"/>
          <w:color w:val="FF0000"/>
          <w:sz w:val="26"/>
          <w:szCs w:val="26"/>
        </w:rPr>
        <w:t>本品應</w:t>
      </w:r>
      <w:proofErr w:type="gramEnd"/>
      <w:r w:rsidRPr="007E7449">
        <w:rPr>
          <w:rFonts w:ascii="標楷體" w:eastAsia="標楷體" w:hAnsi="標楷體"/>
          <w:color w:val="FF0000"/>
          <w:sz w:val="26"/>
          <w:szCs w:val="26"/>
        </w:rPr>
        <w:t>注射於大靜脈。</w:t>
      </w:r>
    </w:p>
    <w:p w:rsidR="003A65DE" w:rsidRDefault="003A65DE" w:rsidP="003A65DE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CA6CAB">
        <w:rPr>
          <w:rFonts w:ascii="標楷體" w:eastAsia="標楷體" w:hAnsi="標楷體" w:cs="____" w:hint="eastAsia"/>
          <w:kern w:val="0"/>
          <w:sz w:val="26"/>
          <w:szCs w:val="26"/>
          <w:shd w:val="pct15" w:color="auto" w:fill="FFFFFF"/>
        </w:rPr>
        <w:t>三、</w:t>
      </w:r>
      <w:r w:rsidR="00CA6CAB" w:rsidRPr="00CA6CAB">
        <w:rPr>
          <w:rFonts w:ascii="標楷體" w:eastAsia="標楷體" w:hAnsi="標楷體" w:hint="eastAsia"/>
          <w:sz w:val="26"/>
          <w:szCs w:val="26"/>
          <w:shd w:val="pct15" w:color="auto" w:fill="FFFFFF"/>
        </w:rPr>
        <w:t>劑量及相關使用注意事項</w:t>
      </w:r>
    </w:p>
    <w:p w:rsidR="007E7449" w:rsidRPr="007E7449" w:rsidRDefault="007E7449" w:rsidP="007E7449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2B7256">
        <w:rPr>
          <w:rFonts w:ascii="標楷體" w:eastAsia="標楷體" w:hAnsi="標楷體" w:hint="eastAsia"/>
          <w:color w:val="FF0000"/>
          <w:sz w:val="26"/>
          <w:szCs w:val="26"/>
        </w:rPr>
        <w:t>1.如果發生</w:t>
      </w:r>
      <w:proofErr w:type="gramStart"/>
      <w:r w:rsidRPr="002B7256">
        <w:rPr>
          <w:rFonts w:ascii="標楷體" w:eastAsia="標楷體" w:hAnsi="標楷體" w:hint="eastAsia"/>
          <w:color w:val="FF0000"/>
          <w:sz w:val="26"/>
          <w:szCs w:val="26"/>
        </w:rPr>
        <w:t>外滲如</w:t>
      </w:r>
      <w:proofErr w:type="gramEnd"/>
      <w:r w:rsidRPr="002B7256">
        <w:rPr>
          <w:rFonts w:ascii="標楷體" w:eastAsia="標楷體" w:hAnsi="標楷體" w:hint="eastAsia"/>
          <w:color w:val="FF0000"/>
          <w:sz w:val="26"/>
          <w:szCs w:val="26"/>
        </w:rPr>
        <w:t>(皮膚腫脹，硬化)，要馬上</w:t>
      </w:r>
      <w:proofErr w:type="gramStart"/>
      <w:r w:rsidRPr="002B7256">
        <w:rPr>
          <w:rFonts w:ascii="標楷體" w:eastAsia="標楷體" w:hAnsi="標楷體" w:hint="eastAsia"/>
          <w:color w:val="FF0000"/>
          <w:sz w:val="26"/>
          <w:szCs w:val="26"/>
        </w:rPr>
        <w:t>停止輸注</w:t>
      </w:r>
      <w:proofErr w:type="gramEnd"/>
      <w:r w:rsidRPr="007E7449">
        <w:rPr>
          <w:rFonts w:ascii="標楷體" w:eastAsia="標楷體" w:hAnsi="標楷體" w:hint="eastAsia"/>
          <w:sz w:val="26"/>
          <w:szCs w:val="26"/>
        </w:rPr>
        <w:t>，且要儘早使用含5mg至10mg的</w:t>
      </w:r>
      <w:proofErr w:type="spellStart"/>
      <w:r w:rsidRPr="007E7449">
        <w:rPr>
          <w:rFonts w:ascii="標楷體" w:eastAsia="標楷體" w:hAnsi="標楷體" w:hint="eastAsia"/>
          <w:sz w:val="26"/>
          <w:szCs w:val="26"/>
        </w:rPr>
        <w:t>phentolamine</w:t>
      </w:r>
      <w:proofErr w:type="spellEnd"/>
      <w:r w:rsidRPr="007E7449">
        <w:rPr>
          <w:rFonts w:ascii="標楷體" w:eastAsia="標楷體" w:hAnsi="標楷體" w:hint="eastAsia"/>
          <w:sz w:val="26"/>
          <w:szCs w:val="26"/>
        </w:rPr>
        <w:t xml:space="preserve"> 10～15ml的生理食鹽水浸潤注射部。</w:t>
      </w:r>
    </w:p>
    <w:p w:rsidR="007E7449" w:rsidRPr="007E7449" w:rsidRDefault="007E7449" w:rsidP="007E7449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7E7449">
        <w:rPr>
          <w:rFonts w:ascii="標楷體" w:eastAsia="標楷體" w:hAnsi="標楷體" w:hint="eastAsia"/>
          <w:sz w:val="26"/>
          <w:szCs w:val="26"/>
        </w:rPr>
        <w:t>2.</w:t>
      </w:r>
      <w:proofErr w:type="gramStart"/>
      <w:r w:rsidRPr="007E7449">
        <w:rPr>
          <w:rFonts w:ascii="標楷體" w:eastAsia="標楷體" w:hAnsi="標楷體" w:hint="eastAsia"/>
          <w:sz w:val="26"/>
          <w:szCs w:val="26"/>
        </w:rPr>
        <w:t>本品溶液</w:t>
      </w:r>
      <w:proofErr w:type="gramEnd"/>
      <w:r w:rsidRPr="007E7449">
        <w:rPr>
          <w:rFonts w:ascii="標楷體" w:eastAsia="標楷體" w:hAnsi="標楷體" w:hint="eastAsia"/>
          <w:sz w:val="26"/>
          <w:szCs w:val="26"/>
        </w:rPr>
        <w:t>變色或有沈</w:t>
      </w:r>
      <w:proofErr w:type="gramStart"/>
      <w:r w:rsidRPr="007E7449">
        <w:rPr>
          <w:rFonts w:ascii="標楷體" w:eastAsia="標楷體" w:hAnsi="標楷體" w:hint="eastAsia"/>
          <w:sz w:val="26"/>
          <w:szCs w:val="26"/>
        </w:rPr>
        <w:t>澱</w:t>
      </w:r>
      <w:proofErr w:type="gramEnd"/>
      <w:r w:rsidRPr="007E7449">
        <w:rPr>
          <w:rFonts w:ascii="標楷體" w:eastAsia="標楷體" w:hAnsi="標楷體" w:hint="eastAsia"/>
          <w:sz w:val="26"/>
          <w:szCs w:val="26"/>
        </w:rPr>
        <w:t>物，不得再使用之。</w:t>
      </w:r>
    </w:p>
    <w:p w:rsidR="007E7449" w:rsidRPr="002B7256" w:rsidRDefault="007E7449" w:rsidP="007E7449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2B7256">
        <w:rPr>
          <w:rFonts w:ascii="標楷體" w:eastAsia="標楷體" w:hAnsi="標楷體" w:hint="eastAsia"/>
          <w:color w:val="FF0000"/>
          <w:sz w:val="26"/>
          <w:szCs w:val="26"/>
        </w:rPr>
        <w:t>3.輸注時，儘可能注射較大靜脈的部位，</w:t>
      </w:r>
      <w:r w:rsidRPr="002B7256">
        <w:rPr>
          <w:rFonts w:ascii="標楷體" w:eastAsia="標楷體" w:hAnsi="標楷體" w:hint="eastAsia"/>
          <w:sz w:val="26"/>
          <w:szCs w:val="26"/>
        </w:rPr>
        <w:t>而且</w:t>
      </w:r>
      <w:r w:rsidRPr="002B7256">
        <w:rPr>
          <w:rFonts w:ascii="標楷體" w:eastAsia="標楷體" w:hAnsi="標楷體" w:hint="eastAsia"/>
          <w:color w:val="FF0000"/>
          <w:sz w:val="26"/>
          <w:szCs w:val="26"/>
        </w:rPr>
        <w:t>要經常變換注射部位，</w:t>
      </w:r>
      <w:r w:rsidRPr="002B7256">
        <w:rPr>
          <w:rFonts w:ascii="標楷體" w:eastAsia="標楷體" w:hAnsi="標楷體" w:hint="eastAsia"/>
          <w:sz w:val="26"/>
          <w:szCs w:val="26"/>
        </w:rPr>
        <w:t>將壞死的危機減至最低。</w:t>
      </w:r>
    </w:p>
    <w:p w:rsidR="007E7449" w:rsidRPr="002B7256" w:rsidRDefault="007E7449" w:rsidP="007E7449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2B7256">
        <w:rPr>
          <w:rFonts w:ascii="標楷體" w:eastAsia="標楷體" w:hAnsi="標楷體" w:hint="eastAsia"/>
          <w:sz w:val="26"/>
          <w:szCs w:val="26"/>
        </w:rPr>
        <w:t>4.當使用norepinephrine時，要維持充足的血容量，以便防止這種藥物之血管收縮作用所造成的組織缺血。</w:t>
      </w:r>
    </w:p>
    <w:p w:rsidR="007E7449" w:rsidRPr="007E7449" w:rsidRDefault="007E7449" w:rsidP="007E7449">
      <w:pPr>
        <w:spacing w:line="0" w:lineRule="atLeast"/>
        <w:ind w:left="260" w:hangingChars="100" w:hanging="260"/>
        <w:rPr>
          <w:rFonts w:ascii="標楷體" w:eastAsia="標楷體" w:hAnsi="標楷體" w:hint="eastAsia"/>
          <w:sz w:val="26"/>
          <w:szCs w:val="26"/>
        </w:rPr>
      </w:pPr>
      <w:r w:rsidRPr="002B7256">
        <w:rPr>
          <w:rFonts w:ascii="標楷體" w:eastAsia="標楷體" w:hAnsi="標楷體" w:hint="eastAsia"/>
          <w:sz w:val="26"/>
          <w:szCs w:val="26"/>
        </w:rPr>
        <w:t>5.不可</w:t>
      </w:r>
      <w:proofErr w:type="gramStart"/>
      <w:r w:rsidRPr="002B7256">
        <w:rPr>
          <w:rFonts w:ascii="標楷體" w:eastAsia="標楷體" w:hAnsi="標楷體" w:hint="eastAsia"/>
          <w:sz w:val="26"/>
          <w:szCs w:val="26"/>
        </w:rPr>
        <w:t>單獨輸注生理</w:t>
      </w:r>
      <w:proofErr w:type="gramEnd"/>
      <w:r w:rsidRPr="002B7256">
        <w:rPr>
          <w:rFonts w:ascii="標楷體" w:eastAsia="標楷體" w:hAnsi="標楷體" w:hint="eastAsia"/>
          <w:sz w:val="26"/>
          <w:szCs w:val="26"/>
        </w:rPr>
        <w:t>食鹽水，因為氧化與失去效力會迅速產生，</w:t>
      </w:r>
      <w:r w:rsidRPr="002B7256">
        <w:rPr>
          <w:rFonts w:ascii="標楷體" w:eastAsia="標楷體" w:hAnsi="標楷體" w:hint="eastAsia"/>
          <w:color w:val="FF0000"/>
          <w:sz w:val="26"/>
          <w:szCs w:val="26"/>
        </w:rPr>
        <w:t>宜使用5% dextrose做基礎劑</w:t>
      </w:r>
      <w:r w:rsidRPr="007E7449">
        <w:rPr>
          <w:rFonts w:ascii="標楷體" w:eastAsia="標楷體" w:hAnsi="標楷體" w:hint="eastAsia"/>
          <w:sz w:val="26"/>
          <w:szCs w:val="26"/>
        </w:rPr>
        <w:t>。</w:t>
      </w:r>
    </w:p>
    <w:p w:rsidR="007E7449" w:rsidRPr="002B7256" w:rsidRDefault="007E7449" w:rsidP="007E7449">
      <w:pPr>
        <w:spacing w:line="0" w:lineRule="atLeast"/>
        <w:ind w:left="260" w:hangingChars="100" w:hanging="260"/>
        <w:rPr>
          <w:rFonts w:ascii="標楷體" w:eastAsia="標楷體" w:hAnsi="標楷體" w:cs="Arial" w:hint="eastAsia"/>
          <w:sz w:val="26"/>
          <w:szCs w:val="26"/>
        </w:rPr>
      </w:pPr>
      <w:r w:rsidRPr="002B7256">
        <w:rPr>
          <w:rFonts w:ascii="標楷體" w:eastAsia="標楷體" w:hAnsi="標楷體" w:hint="eastAsia"/>
          <w:color w:val="FF0000"/>
          <w:sz w:val="26"/>
          <w:szCs w:val="26"/>
        </w:rPr>
        <w:t>6.隨時要準備atropine和propranolol在側，以便治療可能發生的心跳過慢或心律不整。</w:t>
      </w:r>
      <w:r w:rsidRPr="002B7256">
        <w:rPr>
          <w:rFonts w:ascii="標楷體" w:eastAsia="標楷體" w:hAnsi="標楷體" w:cs="Arial" w:hint="eastAsia"/>
          <w:sz w:val="26"/>
          <w:szCs w:val="26"/>
        </w:rPr>
        <w:t>可能提高脈搏壓力，如出現心律</w:t>
      </w:r>
      <w:proofErr w:type="gramStart"/>
      <w:r w:rsidRPr="002B7256">
        <w:rPr>
          <w:rFonts w:ascii="標楷體" w:eastAsia="標楷體" w:hAnsi="標楷體" w:cs="Arial" w:hint="eastAsia"/>
          <w:sz w:val="26"/>
          <w:szCs w:val="26"/>
        </w:rPr>
        <w:t>不整需停</w:t>
      </w:r>
      <w:proofErr w:type="gramEnd"/>
      <w:r w:rsidRPr="002B7256">
        <w:rPr>
          <w:rFonts w:ascii="標楷體" w:eastAsia="標楷體" w:hAnsi="標楷體" w:cs="Arial" w:hint="eastAsia"/>
          <w:sz w:val="26"/>
          <w:szCs w:val="26"/>
        </w:rPr>
        <w:t>藥。</w:t>
      </w:r>
    </w:p>
    <w:p w:rsidR="002B7256" w:rsidRDefault="007E7449" w:rsidP="007E7449">
      <w:pPr>
        <w:spacing w:line="0" w:lineRule="atLeast"/>
        <w:ind w:left="260" w:hangingChars="100" w:hanging="260"/>
        <w:rPr>
          <w:rFonts w:ascii="標楷體" w:eastAsia="標楷體" w:hAnsi="標楷體" w:hint="eastAsia"/>
          <w:color w:val="FF0000"/>
          <w:sz w:val="26"/>
          <w:szCs w:val="26"/>
        </w:rPr>
      </w:pPr>
      <w:r w:rsidRPr="007E7449">
        <w:rPr>
          <w:rFonts w:ascii="標楷體" w:eastAsia="標楷體" w:hAnsi="標楷體" w:hint="eastAsia"/>
          <w:color w:val="FF0000"/>
          <w:sz w:val="26"/>
          <w:szCs w:val="26"/>
        </w:rPr>
        <w:t>7.</w:t>
      </w:r>
      <w:r w:rsidRPr="007E7449">
        <w:rPr>
          <w:rFonts w:ascii="標楷體" w:eastAsia="標楷體" w:hAnsi="標楷體"/>
          <w:color w:val="FF0000"/>
          <w:sz w:val="26"/>
          <w:szCs w:val="26"/>
        </w:rPr>
        <w:t>避免高血壓</w:t>
      </w:r>
      <w:r w:rsidRPr="007E7449">
        <w:rPr>
          <w:rFonts w:ascii="標楷體" w:eastAsia="標楷體" w:hAnsi="標楷體"/>
          <w:sz w:val="26"/>
          <w:szCs w:val="26"/>
        </w:rPr>
        <w:t xml:space="preserve">： </w:t>
      </w:r>
      <w:proofErr w:type="gramStart"/>
      <w:r w:rsidRPr="007E7449">
        <w:rPr>
          <w:rFonts w:ascii="標楷體" w:eastAsia="標楷體" w:hAnsi="標楷體"/>
          <w:sz w:val="26"/>
          <w:szCs w:val="26"/>
        </w:rPr>
        <w:t>因為本品之</w:t>
      </w:r>
      <w:proofErr w:type="gramEnd"/>
      <w:r w:rsidRPr="007E7449">
        <w:rPr>
          <w:rFonts w:ascii="標楷體" w:eastAsia="標楷體" w:hAnsi="標楷體"/>
          <w:sz w:val="26"/>
          <w:szCs w:val="26"/>
        </w:rPr>
        <w:t>效力及個人對血壓升高劑的反應不等，</w:t>
      </w:r>
      <w:proofErr w:type="gramStart"/>
      <w:r w:rsidRPr="002B7256">
        <w:rPr>
          <w:rFonts w:ascii="標楷體" w:eastAsia="標楷體" w:hAnsi="標楷體"/>
          <w:color w:val="FF0000"/>
          <w:sz w:val="26"/>
          <w:szCs w:val="26"/>
        </w:rPr>
        <w:t>本品使用</w:t>
      </w:r>
      <w:proofErr w:type="gramEnd"/>
      <w:r w:rsidRPr="002B7256">
        <w:rPr>
          <w:rFonts w:ascii="標楷體" w:eastAsia="標楷體" w:hAnsi="標楷體"/>
          <w:color w:val="FF0000"/>
          <w:sz w:val="26"/>
          <w:szCs w:val="26"/>
        </w:rPr>
        <w:t>過量可能會產生危險性的高血壓，因此</w:t>
      </w:r>
      <w:r w:rsidRPr="007E7449">
        <w:rPr>
          <w:rFonts w:ascii="標楷體" w:eastAsia="標楷體" w:hAnsi="標楷體"/>
          <w:color w:val="FF0000"/>
          <w:sz w:val="26"/>
          <w:szCs w:val="26"/>
        </w:rPr>
        <w:t>最好從開始用藥時每2分鐘記錄一次血 壓，直至獲得需要的血壓，如若仍需持續用藥則每5分鐘測一次血壓。</w:t>
      </w:r>
      <w:proofErr w:type="gramStart"/>
      <w:r w:rsidRPr="007E7449">
        <w:rPr>
          <w:rFonts w:ascii="標楷體" w:eastAsia="標楷體" w:hAnsi="標楷體"/>
          <w:color w:val="FF0000"/>
          <w:sz w:val="26"/>
          <w:szCs w:val="26"/>
        </w:rPr>
        <w:t>注射本品時</w:t>
      </w:r>
      <w:proofErr w:type="gramEnd"/>
      <w:r w:rsidRPr="007E7449">
        <w:rPr>
          <w:rFonts w:ascii="標楷體" w:eastAsia="標楷體" w:hAnsi="標楷體"/>
          <w:color w:val="FF0000"/>
          <w:sz w:val="26"/>
          <w:szCs w:val="26"/>
        </w:rPr>
        <w:t>，要經常注意流速，且病患不可沒人照顧。</w:t>
      </w:r>
    </w:p>
    <w:p w:rsidR="007E7449" w:rsidRPr="007E7449" w:rsidRDefault="007E7449" w:rsidP="002B7256">
      <w:pPr>
        <w:spacing w:line="0" w:lineRule="atLeast"/>
        <w:ind w:leftChars="100" w:left="240"/>
        <w:rPr>
          <w:rFonts w:ascii="標楷體" w:eastAsia="標楷體" w:hAnsi="標楷體" w:cs="Arial" w:hint="eastAsia"/>
          <w:sz w:val="26"/>
          <w:szCs w:val="26"/>
        </w:rPr>
      </w:pPr>
      <w:bookmarkStart w:id="0" w:name="_GoBack"/>
      <w:bookmarkEnd w:id="0"/>
      <w:r w:rsidRPr="007E7449">
        <w:rPr>
          <w:rFonts w:ascii="標楷體" w:eastAsia="標楷體" w:hAnsi="標楷體"/>
          <w:sz w:val="26"/>
          <w:szCs w:val="26"/>
        </w:rPr>
        <w:t>頭痛可能 是劑量過高產生高血壓之症狀。</w:t>
      </w:r>
    </w:p>
    <w:p w:rsidR="003A65DE" w:rsidRPr="00E566B0" w:rsidRDefault="003A65DE" w:rsidP="006F7202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四、孕婦用藥等級及注意事項？</w:t>
      </w:r>
    </w:p>
    <w:p w:rsidR="003A65DE" w:rsidRPr="003A65DE" w:rsidRDefault="002B7256" w:rsidP="002B7256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____"/>
          <w:kern w:val="0"/>
          <w:szCs w:val="24"/>
        </w:rPr>
      </w:pPr>
      <w:r>
        <w:rPr>
          <w:rFonts w:ascii="標楷體" w:eastAsia="標楷體" w:hAnsi="標楷體" w:cs="____" w:hint="eastAsia"/>
          <w:kern w:val="0"/>
          <w:szCs w:val="24"/>
        </w:rPr>
        <w:t>C</w:t>
      </w:r>
      <w:r w:rsidR="003A65DE" w:rsidRPr="003A65DE">
        <w:rPr>
          <w:rFonts w:ascii="標楷體" w:eastAsia="標楷體" w:hAnsi="標楷體" w:cs="____" w:hint="eastAsia"/>
          <w:kern w:val="0"/>
          <w:szCs w:val="24"/>
        </w:rPr>
        <w:t>級：</w:t>
      </w:r>
    </w:p>
    <w:p w:rsidR="003A65DE" w:rsidRPr="00E566B0" w:rsidRDefault="003A65DE" w:rsidP="003A65DE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E566B0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五、此藥會造成什麼副作用？</w:t>
      </w:r>
    </w:p>
    <w:p w:rsidR="00253488" w:rsidRPr="002B7256" w:rsidRDefault="002B7256" w:rsidP="00253488">
      <w:pPr>
        <w:ind w:right="120"/>
        <w:rPr>
          <w:rFonts w:ascii="標楷體" w:eastAsia="標楷體" w:hAnsi="標楷體" w:hint="eastAsia"/>
          <w:sz w:val="26"/>
          <w:szCs w:val="26"/>
        </w:rPr>
      </w:pPr>
      <w:r w:rsidRPr="002B7256">
        <w:rPr>
          <w:rFonts w:ascii="標楷體" w:eastAsia="標楷體" w:hAnsi="標楷體"/>
          <w:sz w:val="26"/>
          <w:szCs w:val="26"/>
        </w:rPr>
        <w:t>心臟血管系統：血壓上升與心律不整可能造成反射</w:t>
      </w:r>
      <w:proofErr w:type="gramStart"/>
      <w:r w:rsidRPr="002B7256">
        <w:rPr>
          <w:rFonts w:ascii="標楷體" w:eastAsia="標楷體" w:hAnsi="標楷體"/>
          <w:sz w:val="26"/>
          <w:szCs w:val="26"/>
        </w:rPr>
        <w:t>性心率減慢</w:t>
      </w:r>
      <w:proofErr w:type="gramEnd"/>
      <w:r w:rsidRPr="002B7256">
        <w:rPr>
          <w:rFonts w:ascii="標楷體" w:eastAsia="標楷體" w:hAnsi="標楷體"/>
          <w:sz w:val="26"/>
          <w:szCs w:val="26"/>
        </w:rPr>
        <w:t>。 神經系統：焦慮、短暫性的頭痛。</w:t>
      </w:r>
    </w:p>
    <w:p w:rsidR="004328B9" w:rsidRPr="00E22FD0" w:rsidRDefault="004328B9" w:rsidP="00253488">
      <w:pPr>
        <w:ind w:right="120"/>
        <w:jc w:val="right"/>
        <w:rPr>
          <w:rFonts w:ascii="標楷體" w:eastAsia="標楷體" w:hAnsi="標楷體"/>
          <w:b/>
        </w:rPr>
      </w:pPr>
      <w:r w:rsidRPr="00E22FD0">
        <w:rPr>
          <w:rFonts w:ascii="標楷體" w:eastAsia="標楷體" w:hAnsi="標楷體" w:hint="eastAsia"/>
          <w:b/>
        </w:rPr>
        <w:t>諮詢電話：07-7613111轉1119</w:t>
      </w:r>
    </w:p>
    <w:p w:rsidR="004328B9" w:rsidRPr="00E22FD0" w:rsidRDefault="004328B9" w:rsidP="004328B9">
      <w:pPr>
        <w:ind w:firstLineChars="2050" w:firstLine="4925"/>
        <w:rPr>
          <w:rFonts w:ascii="標楷體" w:eastAsia="標楷體" w:hAnsi="標楷體"/>
          <w:b/>
        </w:rPr>
      </w:pPr>
      <w:r w:rsidRPr="00E22FD0">
        <w:rPr>
          <w:rFonts w:ascii="標楷體" w:eastAsia="標楷體" w:hAnsi="標楷體" w:hint="eastAsia"/>
          <w:b/>
        </w:rPr>
        <w:t>杏和醫院 藥劑科關心您</w:t>
      </w:r>
    </w:p>
    <w:sectPr w:rsidR="004328B9" w:rsidRPr="00E22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75" w:rsidRDefault="00042C75" w:rsidP="00C629AC">
      <w:r>
        <w:separator/>
      </w:r>
    </w:p>
  </w:endnote>
  <w:endnote w:type="continuationSeparator" w:id="0">
    <w:p w:rsidR="00042C75" w:rsidRDefault="00042C75" w:rsidP="00C6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75" w:rsidRDefault="00042C75" w:rsidP="00C629AC">
      <w:r>
        <w:separator/>
      </w:r>
    </w:p>
  </w:footnote>
  <w:footnote w:type="continuationSeparator" w:id="0">
    <w:p w:rsidR="00042C75" w:rsidRDefault="00042C75" w:rsidP="00C6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DE"/>
    <w:rsid w:val="00042C75"/>
    <w:rsid w:val="000F2A0A"/>
    <w:rsid w:val="00253488"/>
    <w:rsid w:val="002B7256"/>
    <w:rsid w:val="003A65DE"/>
    <w:rsid w:val="003C5904"/>
    <w:rsid w:val="004328B9"/>
    <w:rsid w:val="006F6776"/>
    <w:rsid w:val="006F7202"/>
    <w:rsid w:val="007E7449"/>
    <w:rsid w:val="00800C13"/>
    <w:rsid w:val="00933F8B"/>
    <w:rsid w:val="00945238"/>
    <w:rsid w:val="00C629AC"/>
    <w:rsid w:val="00CA6CAB"/>
    <w:rsid w:val="00E566B0"/>
    <w:rsid w:val="00E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DE"/>
    <w:pPr>
      <w:keepNext/>
      <w:outlineLvl w:val="0"/>
    </w:pPr>
    <w:rPr>
      <w:rFonts w:ascii="___" w:eastAsia="___" w:cs="___"/>
      <w:b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65DE"/>
    <w:pPr>
      <w:keepNext/>
      <w:jc w:val="center"/>
      <w:outlineLvl w:val="1"/>
    </w:pPr>
    <w:rPr>
      <w:rFonts w:ascii="標楷體" w:eastAsia="標楷體" w:hAnsi="標楷體" w:cs="___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A65DE"/>
    <w:rPr>
      <w:rFonts w:ascii="___" w:eastAsia="___" w:cs="___"/>
      <w:b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A65DE"/>
    <w:rPr>
      <w:rFonts w:ascii="標楷體" w:eastAsia="標楷體" w:hAnsi="標楷體" w:cs="___"/>
      <w:b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65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9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9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DE"/>
    <w:pPr>
      <w:keepNext/>
      <w:outlineLvl w:val="0"/>
    </w:pPr>
    <w:rPr>
      <w:rFonts w:ascii="___" w:eastAsia="___" w:cs="___"/>
      <w:b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65DE"/>
    <w:pPr>
      <w:keepNext/>
      <w:jc w:val="center"/>
      <w:outlineLvl w:val="1"/>
    </w:pPr>
    <w:rPr>
      <w:rFonts w:ascii="標楷體" w:eastAsia="標楷體" w:hAnsi="標楷體" w:cs="___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A65DE"/>
    <w:rPr>
      <w:rFonts w:ascii="___" w:eastAsia="___" w:cs="___"/>
      <w:b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A65DE"/>
    <w:rPr>
      <w:rFonts w:ascii="標楷體" w:eastAsia="標楷體" w:hAnsi="標楷體" w:cs="___"/>
      <w:b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65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9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9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SYNNEX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2018-09-06T04:18:00Z</cp:lastPrinted>
  <dcterms:created xsi:type="dcterms:W3CDTF">2018-09-06T04:42:00Z</dcterms:created>
  <dcterms:modified xsi:type="dcterms:W3CDTF">2018-09-06T04:42:00Z</dcterms:modified>
</cp:coreProperties>
</file>