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38" w:rsidRDefault="003A65DE" w:rsidP="003A65DE">
      <w:pPr>
        <w:jc w:val="center"/>
        <w:rPr>
          <w:rFonts w:ascii="標楷體" w:eastAsia="標楷體" w:hAnsi="標楷體" w:cs="____"/>
          <w:b/>
          <w:kern w:val="0"/>
          <w:sz w:val="32"/>
          <w:szCs w:val="32"/>
        </w:rPr>
      </w:pPr>
      <w:r w:rsidRPr="003A65DE">
        <w:rPr>
          <w:rFonts w:ascii="標楷體" w:eastAsia="標楷體" w:hAnsi="標楷體" w:cs="____" w:hint="eastAsia"/>
          <w:b/>
          <w:kern w:val="0"/>
          <w:sz w:val="32"/>
          <w:szCs w:val="32"/>
        </w:rPr>
        <w:t>用藥指導單張</w:t>
      </w:r>
    </w:p>
    <w:tbl>
      <w:tblPr>
        <w:tblStyle w:val="a3"/>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544"/>
        <w:gridCol w:w="3686"/>
      </w:tblGrid>
      <w:tr w:rsidR="003A65DE" w:rsidTr="00BC0DA5">
        <w:tc>
          <w:tcPr>
            <w:tcW w:w="1809" w:type="dxa"/>
          </w:tcPr>
          <w:p w:rsidR="003A65DE" w:rsidRPr="003A65DE" w:rsidRDefault="003A65DE" w:rsidP="00BC0DA5">
            <w:pPr>
              <w:rPr>
                <w:rFonts w:ascii="標楷體" w:eastAsia="標楷體" w:hAnsi="標楷體"/>
                <w:b/>
                <w:sz w:val="28"/>
                <w:szCs w:val="28"/>
              </w:rPr>
            </w:pPr>
            <w:r w:rsidRPr="003A65DE">
              <w:rPr>
                <w:rFonts w:ascii="標楷體" w:eastAsia="標楷體" w:hAnsi="標楷體" w:cs="___" w:hint="eastAsia"/>
                <w:b/>
                <w:kern w:val="0"/>
                <w:sz w:val="28"/>
                <w:szCs w:val="28"/>
              </w:rPr>
              <w:t>學</w:t>
            </w:r>
            <w:r w:rsidR="00BC0DA5">
              <w:rPr>
                <w:rFonts w:ascii="標楷體" w:eastAsia="標楷體" w:hAnsi="標楷體" w:cs="___" w:hint="eastAsia"/>
                <w:b/>
                <w:kern w:val="0"/>
                <w:szCs w:val="24"/>
              </w:rPr>
              <w:t>名</w:t>
            </w:r>
            <w:r w:rsidRPr="003A65DE">
              <w:rPr>
                <w:rFonts w:ascii="標楷體" w:eastAsia="標楷體" w:hAnsi="標楷體" w:cs="___" w:hint="eastAsia"/>
                <w:b/>
                <w:kern w:val="0"/>
                <w:sz w:val="28"/>
                <w:szCs w:val="28"/>
              </w:rPr>
              <w:t>：</w:t>
            </w:r>
          </w:p>
        </w:tc>
        <w:tc>
          <w:tcPr>
            <w:tcW w:w="3544" w:type="dxa"/>
          </w:tcPr>
          <w:p w:rsidR="00BC0DA5" w:rsidRDefault="00BC0DA5" w:rsidP="00BC0DA5">
            <w:pPr>
              <w:pStyle w:val="2"/>
              <w:jc w:val="left"/>
              <w:rPr>
                <w:rFonts w:hint="eastAsia"/>
                <w:sz w:val="24"/>
                <w:szCs w:val="24"/>
              </w:rPr>
            </w:pPr>
            <w:proofErr w:type="spellStart"/>
            <w:r>
              <w:rPr>
                <w:sz w:val="24"/>
                <w:szCs w:val="24"/>
              </w:rPr>
              <w:t>Measles</w:t>
            </w:r>
            <w:proofErr w:type="gramStart"/>
            <w:r>
              <w:rPr>
                <w:sz w:val="24"/>
                <w:szCs w:val="24"/>
              </w:rPr>
              <w:t>,Mumps,Rubella,</w:t>
            </w:r>
            <w:r w:rsidRPr="00BC0DA5">
              <w:rPr>
                <w:sz w:val="24"/>
                <w:szCs w:val="24"/>
              </w:rPr>
              <w:t>live</w:t>
            </w:r>
            <w:proofErr w:type="spellEnd"/>
            <w:proofErr w:type="gramEnd"/>
          </w:p>
          <w:p w:rsidR="003A65DE" w:rsidRPr="00BC0DA5" w:rsidRDefault="00BC0DA5" w:rsidP="00BC0DA5">
            <w:pPr>
              <w:pStyle w:val="2"/>
              <w:jc w:val="left"/>
              <w:rPr>
                <w:sz w:val="24"/>
                <w:szCs w:val="24"/>
              </w:rPr>
            </w:pPr>
            <w:r w:rsidRPr="00BC0DA5">
              <w:rPr>
                <w:sz w:val="24"/>
                <w:szCs w:val="24"/>
              </w:rPr>
              <w:t>A</w:t>
            </w:r>
            <w:r w:rsidRPr="00BC0DA5">
              <w:rPr>
                <w:sz w:val="24"/>
                <w:szCs w:val="24"/>
              </w:rPr>
              <w:t>ttenuated</w:t>
            </w:r>
            <w:r>
              <w:rPr>
                <w:rFonts w:hint="eastAsia"/>
                <w:sz w:val="24"/>
                <w:szCs w:val="24"/>
              </w:rPr>
              <w:t xml:space="preserve"> </w:t>
            </w:r>
            <w:proofErr w:type="spellStart"/>
            <w:r>
              <w:rPr>
                <w:rFonts w:hint="eastAsia"/>
                <w:sz w:val="24"/>
                <w:szCs w:val="24"/>
              </w:rPr>
              <w:t>vaccin</w:t>
            </w:r>
            <w:proofErr w:type="spellEnd"/>
          </w:p>
        </w:tc>
        <w:tc>
          <w:tcPr>
            <w:tcW w:w="3686" w:type="dxa"/>
            <w:vMerge w:val="restart"/>
          </w:tcPr>
          <w:p w:rsidR="003A65DE" w:rsidRDefault="00BC0DA5" w:rsidP="00BC0DA5">
            <w:pPr>
              <w:ind w:rightChars="-385" w:right="-924"/>
              <w:rPr>
                <w:rFonts w:ascii="標楷體" w:eastAsia="標楷體" w:hAnsi="標楷體"/>
                <w:b/>
                <w:sz w:val="32"/>
                <w:szCs w:val="32"/>
              </w:rPr>
            </w:pPr>
            <w:r>
              <w:rPr>
                <w:noProof/>
              </w:rPr>
              <w:drawing>
                <wp:inline distT="0" distB="0" distL="0" distR="0" wp14:anchorId="231D37DD" wp14:editId="32F4E62A">
                  <wp:extent cx="1895475" cy="1571625"/>
                  <wp:effectExtent l="0" t="0" r="9525" b="9525"/>
                  <wp:docPr id="2" name="圖片 2" descr="「麻疹腮腺炎德國麻疹混合疫苗許可證」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麻疹腮腺炎德國麻疹混合疫苗許可證」的圖片搜尋結果"/>
                          <pic:cNvPicPr>
                            <a:picLocks noChangeAspect="1" noChangeArrowheads="1"/>
                          </pic:cNvPicPr>
                        </pic:nvPicPr>
                        <pic:blipFill rotWithShape="1">
                          <a:blip r:embed="rId7">
                            <a:extLst>
                              <a:ext uri="{28A0092B-C50C-407E-A947-70E740481C1C}">
                                <a14:useLocalDpi xmlns:a14="http://schemas.microsoft.com/office/drawing/2010/main" val="0"/>
                              </a:ext>
                            </a:extLst>
                          </a:blip>
                          <a:srcRect l="11524" r="6584" b="3900"/>
                          <a:stretch/>
                        </pic:blipFill>
                        <pic:spPr bwMode="auto">
                          <a:xfrm>
                            <a:off x="0" y="0"/>
                            <a:ext cx="1903603" cy="15783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A65DE" w:rsidTr="00BC0DA5">
        <w:tc>
          <w:tcPr>
            <w:tcW w:w="1809" w:type="dxa"/>
          </w:tcPr>
          <w:p w:rsidR="003A65DE" w:rsidRPr="003A65DE" w:rsidRDefault="00BC0DA5" w:rsidP="00BC0DA5">
            <w:pPr>
              <w:rPr>
                <w:rFonts w:ascii="標楷體" w:eastAsia="標楷體" w:hAnsi="標楷體"/>
                <w:b/>
                <w:sz w:val="28"/>
                <w:szCs w:val="28"/>
              </w:rPr>
            </w:pPr>
            <w:r>
              <w:rPr>
                <w:rFonts w:ascii="標楷體" w:eastAsia="標楷體" w:hAnsi="標楷體" w:cs="___" w:hint="eastAsia"/>
                <w:b/>
                <w:kern w:val="0"/>
                <w:sz w:val="28"/>
                <w:szCs w:val="28"/>
              </w:rPr>
              <w:t>商品名</w:t>
            </w:r>
            <w:r w:rsidR="003A65DE" w:rsidRPr="003A65DE">
              <w:rPr>
                <w:rFonts w:ascii="標楷體" w:eastAsia="標楷體" w:hAnsi="標楷體" w:cs="___" w:hint="eastAsia"/>
                <w:b/>
                <w:kern w:val="0"/>
                <w:sz w:val="28"/>
                <w:szCs w:val="28"/>
              </w:rPr>
              <w:t>：</w:t>
            </w:r>
          </w:p>
        </w:tc>
        <w:tc>
          <w:tcPr>
            <w:tcW w:w="3544" w:type="dxa"/>
          </w:tcPr>
          <w:p w:rsidR="003A65DE" w:rsidRPr="003A65DE" w:rsidRDefault="00BC0DA5" w:rsidP="00C629AC">
            <w:pPr>
              <w:pStyle w:val="1"/>
              <w:rPr>
                <w:rFonts w:ascii="標楷體" w:eastAsia="標楷體" w:hAnsi="標楷體"/>
              </w:rPr>
            </w:pPr>
            <w:r>
              <w:t>M.M.R II(自費)</w:t>
            </w:r>
          </w:p>
        </w:tc>
        <w:tc>
          <w:tcPr>
            <w:tcW w:w="3686" w:type="dxa"/>
            <w:vMerge/>
          </w:tcPr>
          <w:p w:rsidR="003A65DE" w:rsidRDefault="003A65DE" w:rsidP="003A65DE">
            <w:pPr>
              <w:jc w:val="center"/>
              <w:rPr>
                <w:rFonts w:ascii="標楷體" w:eastAsia="標楷體" w:hAnsi="標楷體"/>
                <w:b/>
                <w:sz w:val="32"/>
                <w:szCs w:val="32"/>
              </w:rPr>
            </w:pPr>
          </w:p>
        </w:tc>
      </w:tr>
      <w:tr w:rsidR="003A65DE" w:rsidTr="00BC0DA5">
        <w:tc>
          <w:tcPr>
            <w:tcW w:w="1809" w:type="dxa"/>
          </w:tcPr>
          <w:p w:rsidR="003A65DE" w:rsidRPr="003A65DE" w:rsidRDefault="003A65DE" w:rsidP="00C629AC">
            <w:pPr>
              <w:rPr>
                <w:rFonts w:ascii="標楷體" w:eastAsia="標楷體" w:hAnsi="標楷體"/>
                <w:b/>
                <w:sz w:val="28"/>
                <w:szCs w:val="28"/>
              </w:rPr>
            </w:pPr>
            <w:r w:rsidRPr="003A65DE">
              <w:rPr>
                <w:rFonts w:ascii="標楷體" w:eastAsia="標楷體" w:hAnsi="標楷體" w:cs="___" w:hint="eastAsia"/>
                <w:b/>
                <w:kern w:val="0"/>
                <w:sz w:val="28"/>
                <w:szCs w:val="28"/>
              </w:rPr>
              <w:t>中文名：</w:t>
            </w:r>
          </w:p>
        </w:tc>
        <w:tc>
          <w:tcPr>
            <w:tcW w:w="3544" w:type="dxa"/>
          </w:tcPr>
          <w:p w:rsidR="003A65DE" w:rsidRPr="00BC0DA5" w:rsidRDefault="00BC0DA5" w:rsidP="00C629AC">
            <w:pPr>
              <w:rPr>
                <w:rFonts w:ascii="標楷體" w:eastAsia="標楷體" w:hAnsi="標楷體"/>
                <w:b/>
                <w:sz w:val="28"/>
                <w:szCs w:val="28"/>
              </w:rPr>
            </w:pPr>
            <w:r w:rsidRPr="00BC0DA5">
              <w:rPr>
                <w:rFonts w:ascii="標楷體" w:eastAsia="標楷體" w:hAnsi="標楷體"/>
                <w:b/>
              </w:rPr>
              <w:t>麻疹、腮腺炎及德國麻疹三種混合疫苗注射</w:t>
            </w:r>
            <w:r>
              <w:rPr>
                <w:rFonts w:ascii="標楷體" w:eastAsia="標楷體" w:hAnsi="標楷體" w:hint="eastAsia"/>
                <w:b/>
              </w:rPr>
              <w:t>液</w:t>
            </w:r>
          </w:p>
        </w:tc>
        <w:tc>
          <w:tcPr>
            <w:tcW w:w="3686" w:type="dxa"/>
            <w:vMerge/>
          </w:tcPr>
          <w:p w:rsidR="003A65DE" w:rsidRDefault="003A65DE" w:rsidP="003A65DE">
            <w:pPr>
              <w:jc w:val="center"/>
              <w:rPr>
                <w:rFonts w:ascii="標楷體" w:eastAsia="標楷體" w:hAnsi="標楷體"/>
                <w:b/>
                <w:sz w:val="32"/>
                <w:szCs w:val="32"/>
              </w:rPr>
            </w:pPr>
          </w:p>
        </w:tc>
      </w:tr>
    </w:tbl>
    <w:p w:rsidR="003A65DE" w:rsidRPr="00E566B0" w:rsidRDefault="003A65DE" w:rsidP="003A65DE">
      <w:pPr>
        <w:autoSpaceDE w:val="0"/>
        <w:autoSpaceDN w:val="0"/>
        <w:adjustRightInd w:val="0"/>
        <w:rPr>
          <w:rFonts w:ascii="標楷體" w:eastAsia="標楷體" w:hAnsi="標楷體" w:cs="____"/>
          <w:b/>
          <w:kern w:val="0"/>
          <w:szCs w:val="24"/>
          <w:shd w:val="pct15" w:color="auto" w:fill="FFFFFF"/>
        </w:rPr>
      </w:pPr>
      <w:r w:rsidRPr="00E566B0">
        <w:rPr>
          <w:rFonts w:ascii="標楷體" w:eastAsia="標楷體" w:hAnsi="標楷體" w:cs="____" w:hint="eastAsia"/>
          <w:b/>
          <w:kern w:val="0"/>
          <w:szCs w:val="24"/>
          <w:shd w:val="pct15" w:color="auto" w:fill="FFFFFF"/>
        </w:rPr>
        <w:t>一、</w:t>
      </w:r>
      <w:r w:rsidR="00CA6CAB">
        <w:rPr>
          <w:rFonts w:ascii="標楷體" w:eastAsia="標楷體" w:hAnsi="標楷體" w:cs="____" w:hint="eastAsia"/>
          <w:b/>
          <w:kern w:val="0"/>
          <w:szCs w:val="24"/>
          <w:shd w:val="pct15" w:color="auto" w:fill="FFFFFF"/>
        </w:rPr>
        <w:t>適應症</w:t>
      </w:r>
    </w:p>
    <w:p w:rsidR="00BC0DA5" w:rsidRDefault="00BC0DA5" w:rsidP="003A65DE">
      <w:pPr>
        <w:autoSpaceDE w:val="0"/>
        <w:autoSpaceDN w:val="0"/>
        <w:adjustRightInd w:val="0"/>
        <w:rPr>
          <w:rFonts w:ascii="標楷體" w:eastAsia="標楷體" w:hAnsi="標楷體" w:cs="Arial" w:hint="eastAsia"/>
          <w:color w:val="000000"/>
          <w:sz w:val="26"/>
          <w:szCs w:val="26"/>
          <w:shd w:val="clear" w:color="auto" w:fill="FFFFFF"/>
        </w:rPr>
      </w:pPr>
      <w:r w:rsidRPr="00BC0DA5">
        <w:rPr>
          <w:rFonts w:ascii="標楷體" w:eastAsia="標楷體" w:hAnsi="標楷體" w:cs="Arial"/>
          <w:color w:val="000000"/>
          <w:sz w:val="26"/>
          <w:szCs w:val="26"/>
          <w:shd w:val="clear" w:color="auto" w:fill="FFFFFF"/>
        </w:rPr>
        <w:t>麻疹病毒、腮腺炎病毒、德國麻疹病毒感染之預防注射。</w:t>
      </w:r>
    </w:p>
    <w:p w:rsidR="003A65DE" w:rsidRPr="00E566B0" w:rsidRDefault="003A65DE" w:rsidP="003A65DE">
      <w:pPr>
        <w:autoSpaceDE w:val="0"/>
        <w:autoSpaceDN w:val="0"/>
        <w:adjustRightInd w:val="0"/>
        <w:rPr>
          <w:rFonts w:ascii="標楷體" w:eastAsia="標楷體" w:hAnsi="標楷體" w:cs="____"/>
          <w:b/>
          <w:kern w:val="0"/>
          <w:szCs w:val="24"/>
          <w:shd w:val="pct15" w:color="auto" w:fill="FFFFFF"/>
        </w:rPr>
      </w:pPr>
      <w:r w:rsidRPr="00E566B0">
        <w:rPr>
          <w:rFonts w:ascii="標楷體" w:eastAsia="標楷體" w:hAnsi="標楷體" w:cs="____" w:hint="eastAsia"/>
          <w:b/>
          <w:kern w:val="0"/>
          <w:szCs w:val="24"/>
          <w:shd w:val="pct15" w:color="auto" w:fill="FFFFFF"/>
        </w:rPr>
        <w:t>二、此藥品該如何使用？</w:t>
      </w:r>
      <w:r w:rsidR="00CA6CAB" w:rsidRPr="004328B9">
        <w:rPr>
          <w:rFonts w:ascii="標楷體" w:eastAsia="標楷體" w:hAnsi="標楷體" w:cs="____" w:hint="eastAsia"/>
          <w:b/>
          <w:color w:val="FF0000"/>
          <w:kern w:val="0"/>
          <w:szCs w:val="24"/>
        </w:rPr>
        <w:t xml:space="preserve"> </w:t>
      </w:r>
      <w:r w:rsidR="00CA6CAB" w:rsidRPr="004328B9">
        <w:rPr>
          <w:rFonts w:ascii="標楷體" w:eastAsia="標楷體" w:hAnsi="標楷體" w:cs="____" w:hint="eastAsia"/>
          <w:b/>
          <w:kern w:val="0"/>
          <w:szCs w:val="24"/>
        </w:rPr>
        <w:t xml:space="preserve">           </w:t>
      </w:r>
      <w:r w:rsidR="00CA6CAB">
        <w:rPr>
          <w:rFonts w:ascii="標楷體" w:eastAsia="標楷體" w:hAnsi="標楷體" w:cs="____" w:hint="eastAsia"/>
          <w:b/>
          <w:kern w:val="0"/>
          <w:szCs w:val="24"/>
          <w:shd w:val="pct15" w:color="auto" w:fill="FFFFFF"/>
        </w:rPr>
        <w:t xml:space="preserve">  </w:t>
      </w:r>
    </w:p>
    <w:p w:rsidR="00BC0DA5" w:rsidRPr="00BC0DA5" w:rsidRDefault="00BC0DA5" w:rsidP="00BC0DA5">
      <w:pPr>
        <w:autoSpaceDE w:val="0"/>
        <w:autoSpaceDN w:val="0"/>
        <w:adjustRightInd w:val="0"/>
        <w:rPr>
          <w:rFonts w:ascii="標楷體" w:eastAsia="標楷體" w:hAnsi="標楷體" w:hint="eastAsia"/>
          <w:sz w:val="26"/>
          <w:szCs w:val="26"/>
        </w:rPr>
      </w:pPr>
      <w:r w:rsidRPr="00BC0DA5">
        <w:rPr>
          <w:rFonts w:ascii="標楷體" w:eastAsia="標楷體" w:hAnsi="標楷體" w:hint="eastAsia"/>
          <w:sz w:val="26"/>
          <w:szCs w:val="26"/>
        </w:rPr>
        <w:t>麻疹-腮腺炎-德國麻疹(Measles, Mumps, Rubella, MMR)疫苗為一</w:t>
      </w:r>
      <w:proofErr w:type="gramStart"/>
      <w:r w:rsidRPr="00BC0DA5">
        <w:rPr>
          <w:rFonts w:ascii="標楷體" w:eastAsia="標楷體" w:hAnsi="標楷體" w:hint="eastAsia"/>
          <w:sz w:val="26"/>
          <w:szCs w:val="26"/>
        </w:rPr>
        <w:t>活性減毒疫苗</w:t>
      </w:r>
      <w:proofErr w:type="gramEnd"/>
      <w:r w:rsidRPr="00BC0DA5">
        <w:rPr>
          <w:rFonts w:ascii="標楷體" w:eastAsia="標楷體" w:hAnsi="標楷體" w:hint="eastAsia"/>
          <w:sz w:val="26"/>
          <w:szCs w:val="26"/>
        </w:rPr>
        <w:t>，</w:t>
      </w:r>
      <w:r w:rsidRPr="009D51CC">
        <w:rPr>
          <w:rFonts w:ascii="標楷體" w:eastAsia="標楷體" w:hAnsi="標楷體" w:hint="eastAsia"/>
          <w:color w:val="FF0000"/>
          <w:sz w:val="26"/>
          <w:szCs w:val="26"/>
        </w:rPr>
        <w:t>接種第一劑後約兩</w:t>
      </w:r>
      <w:proofErr w:type="gramStart"/>
      <w:r w:rsidRPr="009D51CC">
        <w:rPr>
          <w:rFonts w:ascii="標楷體" w:eastAsia="標楷體" w:hAnsi="標楷體" w:hint="eastAsia"/>
          <w:color w:val="FF0000"/>
          <w:sz w:val="26"/>
          <w:szCs w:val="26"/>
        </w:rPr>
        <w:t>週</w:t>
      </w:r>
      <w:proofErr w:type="gramEnd"/>
      <w:r w:rsidRPr="009D51CC">
        <w:rPr>
          <w:rFonts w:ascii="標楷體" w:eastAsia="標楷體" w:hAnsi="標楷體" w:hint="eastAsia"/>
          <w:color w:val="FF0000"/>
          <w:sz w:val="26"/>
          <w:szCs w:val="26"/>
        </w:rPr>
        <w:t>後產生抵抗力</w:t>
      </w:r>
      <w:r w:rsidRPr="00BC0DA5">
        <w:rPr>
          <w:rFonts w:ascii="標楷體" w:eastAsia="標楷體" w:hAnsi="標楷體" w:hint="eastAsia"/>
          <w:sz w:val="26"/>
          <w:szCs w:val="26"/>
        </w:rPr>
        <w:t>，接種第二劑後預防效果可達 95％以上，並可獲長期免疫。</w:t>
      </w:r>
    </w:p>
    <w:p w:rsidR="00BC0DA5" w:rsidRPr="009D51CC" w:rsidRDefault="00BC0DA5" w:rsidP="00BC0DA5">
      <w:pPr>
        <w:autoSpaceDE w:val="0"/>
        <w:autoSpaceDN w:val="0"/>
        <w:adjustRightInd w:val="0"/>
        <w:rPr>
          <w:rFonts w:ascii="標楷體" w:eastAsia="標楷體" w:hAnsi="標楷體" w:hint="eastAsia"/>
          <w:color w:val="00B0F0"/>
          <w:sz w:val="26"/>
          <w:szCs w:val="26"/>
        </w:rPr>
      </w:pPr>
      <w:r w:rsidRPr="009D51CC">
        <w:rPr>
          <w:rFonts w:ascii="標楷體" w:eastAsia="標楷體" w:hAnsi="標楷體" w:hint="eastAsia"/>
          <w:color w:val="00B0F0"/>
          <w:sz w:val="26"/>
          <w:szCs w:val="26"/>
        </w:rPr>
        <w:t xml:space="preserve">現行我國幼兒常規預防接種政策，建議於出生滿 12 </w:t>
      </w:r>
      <w:proofErr w:type="gramStart"/>
      <w:r w:rsidRPr="009D51CC">
        <w:rPr>
          <w:rFonts w:ascii="標楷體" w:eastAsia="標楷體" w:hAnsi="標楷體" w:hint="eastAsia"/>
          <w:color w:val="00B0F0"/>
          <w:sz w:val="26"/>
          <w:szCs w:val="26"/>
        </w:rPr>
        <w:t>個</w:t>
      </w:r>
      <w:proofErr w:type="gramEnd"/>
      <w:r w:rsidRPr="009D51CC">
        <w:rPr>
          <w:rFonts w:ascii="標楷體" w:eastAsia="標楷體" w:hAnsi="標楷體" w:hint="eastAsia"/>
          <w:color w:val="00B0F0"/>
          <w:sz w:val="26"/>
          <w:szCs w:val="26"/>
        </w:rPr>
        <w:t>月、滿 5 歲至入小學前各接種一劑 MMR 疫苗。</w:t>
      </w:r>
    </w:p>
    <w:p w:rsidR="00BC0DA5" w:rsidRPr="009D51CC" w:rsidRDefault="003A65DE" w:rsidP="00BC0DA5">
      <w:pPr>
        <w:autoSpaceDE w:val="0"/>
        <w:autoSpaceDN w:val="0"/>
        <w:adjustRightInd w:val="0"/>
        <w:rPr>
          <w:rFonts w:ascii="標楷體" w:eastAsia="標楷體" w:hAnsi="標楷體" w:hint="eastAsia"/>
          <w:sz w:val="26"/>
          <w:szCs w:val="26"/>
          <w:shd w:val="pct15" w:color="auto" w:fill="FFFFFF"/>
        </w:rPr>
      </w:pPr>
      <w:r w:rsidRPr="009D51CC">
        <w:rPr>
          <w:rFonts w:ascii="標楷體" w:eastAsia="標楷體" w:hAnsi="標楷體" w:cs="____" w:hint="eastAsia"/>
          <w:kern w:val="0"/>
          <w:sz w:val="26"/>
          <w:szCs w:val="26"/>
          <w:shd w:val="pct15" w:color="auto" w:fill="FFFFFF"/>
        </w:rPr>
        <w:t>三、</w:t>
      </w:r>
      <w:r w:rsidR="00BC0DA5" w:rsidRPr="009D51CC">
        <w:rPr>
          <w:rFonts w:ascii="標楷體" w:eastAsia="標楷體" w:hAnsi="標楷體"/>
          <w:sz w:val="26"/>
          <w:szCs w:val="26"/>
          <w:shd w:val="pct15" w:color="auto" w:fill="FFFFFF"/>
        </w:rPr>
        <w:t>建議接種對象</w:t>
      </w:r>
      <w:r w:rsidR="00BC0DA5" w:rsidRPr="009D51CC">
        <w:rPr>
          <w:rFonts w:ascii="標楷體" w:eastAsia="標楷體" w:hAnsi="標楷體" w:hint="eastAsia"/>
          <w:sz w:val="26"/>
          <w:szCs w:val="26"/>
          <w:shd w:val="pct15" w:color="auto" w:fill="FFFFFF"/>
        </w:rPr>
        <w:t>：</w:t>
      </w:r>
    </w:p>
    <w:p w:rsidR="00F04341" w:rsidRDefault="00BC0DA5" w:rsidP="00F04341">
      <w:pPr>
        <w:autoSpaceDE w:val="0"/>
        <w:autoSpaceDN w:val="0"/>
        <w:adjustRightInd w:val="0"/>
        <w:ind w:left="520" w:hangingChars="200" w:hanging="520"/>
        <w:rPr>
          <w:rFonts w:ascii="標楷體" w:eastAsia="標楷體" w:hAnsi="標楷體" w:hint="eastAsia"/>
          <w:sz w:val="26"/>
          <w:szCs w:val="26"/>
        </w:rPr>
      </w:pPr>
      <w:r w:rsidRPr="00BC0DA5">
        <w:rPr>
          <w:rFonts w:ascii="標楷體" w:eastAsia="標楷體" w:hAnsi="標楷體"/>
          <w:sz w:val="26"/>
          <w:szCs w:val="26"/>
        </w:rPr>
        <w:t xml:space="preserve"> </w:t>
      </w:r>
      <w:r w:rsidR="00F04341">
        <w:rPr>
          <w:rFonts w:ascii="標楷體" w:eastAsia="標楷體" w:hAnsi="標楷體" w:hint="eastAsia"/>
          <w:sz w:val="26"/>
          <w:szCs w:val="26"/>
        </w:rPr>
        <w:t>1.</w:t>
      </w:r>
      <w:r w:rsidR="00F04341">
        <w:rPr>
          <w:rFonts w:ascii="標楷體" w:eastAsia="標楷體" w:hAnsi="標楷體"/>
          <w:sz w:val="26"/>
          <w:szCs w:val="26"/>
        </w:rPr>
        <w:t>對自身麻疹、腮腺炎或德國麻疹相關疫苗的接種</w:t>
      </w:r>
      <w:proofErr w:type="gramStart"/>
      <w:r w:rsidR="00F04341">
        <w:rPr>
          <w:rFonts w:ascii="標楷體" w:eastAsia="標楷體" w:hAnsi="標楷體"/>
          <w:sz w:val="26"/>
          <w:szCs w:val="26"/>
        </w:rPr>
        <w:t>史不清楚，</w:t>
      </w:r>
      <w:proofErr w:type="gramEnd"/>
      <w:r w:rsidR="00F04341">
        <w:rPr>
          <w:rFonts w:ascii="標楷體" w:eastAsia="標楷體" w:hAnsi="標楷體"/>
          <w:sz w:val="26"/>
          <w:szCs w:val="26"/>
        </w:rPr>
        <w:t>或未完</w:t>
      </w:r>
    </w:p>
    <w:p w:rsidR="00F04341" w:rsidRDefault="00BC0DA5" w:rsidP="00F04341">
      <w:pPr>
        <w:autoSpaceDE w:val="0"/>
        <w:autoSpaceDN w:val="0"/>
        <w:adjustRightInd w:val="0"/>
        <w:ind w:leftChars="150" w:left="490" w:hangingChars="50" w:hanging="130"/>
        <w:rPr>
          <w:rFonts w:ascii="標楷體" w:eastAsia="標楷體" w:hAnsi="標楷體" w:hint="eastAsia"/>
          <w:sz w:val="26"/>
          <w:szCs w:val="26"/>
        </w:rPr>
      </w:pPr>
      <w:r w:rsidRPr="00BC0DA5">
        <w:rPr>
          <w:rFonts w:ascii="標楷體" w:eastAsia="標楷體" w:hAnsi="標楷體"/>
          <w:sz w:val="26"/>
          <w:szCs w:val="26"/>
        </w:rPr>
        <w:t xml:space="preserve">基礎劑接種者。 </w:t>
      </w:r>
    </w:p>
    <w:p w:rsidR="00F04341" w:rsidRPr="009D51CC" w:rsidRDefault="00F04341" w:rsidP="00F04341">
      <w:pPr>
        <w:autoSpaceDE w:val="0"/>
        <w:autoSpaceDN w:val="0"/>
        <w:adjustRightInd w:val="0"/>
        <w:ind w:leftChars="50" w:left="380" w:hangingChars="100" w:hanging="260"/>
        <w:rPr>
          <w:rFonts w:ascii="標楷體" w:eastAsia="標楷體" w:hAnsi="標楷體" w:hint="eastAsia"/>
          <w:color w:val="FF0000"/>
          <w:sz w:val="26"/>
          <w:szCs w:val="26"/>
        </w:rPr>
      </w:pPr>
      <w:r>
        <w:rPr>
          <w:rFonts w:ascii="標楷體" w:eastAsia="標楷體" w:hAnsi="標楷體" w:hint="eastAsia"/>
          <w:sz w:val="26"/>
          <w:szCs w:val="26"/>
        </w:rPr>
        <w:t>2.</w:t>
      </w:r>
      <w:r w:rsidR="00BC0DA5" w:rsidRPr="009D51CC">
        <w:rPr>
          <w:rFonts w:ascii="標楷體" w:eastAsia="標楷體" w:hAnsi="標楷體"/>
          <w:color w:val="FF0000"/>
          <w:sz w:val="26"/>
          <w:szCs w:val="26"/>
        </w:rPr>
        <w:t>醫護人員：若不具相關疾病之抗體陽性證明者，需接種2劑 MMR 疫苗。特別是 會接觸孕婦或嬰幼兒的科別，如婦產科、小兒科、急診、嬰幼兒托育機構之醫護 人員及員工。</w:t>
      </w:r>
    </w:p>
    <w:p w:rsidR="009D51CC" w:rsidRDefault="00F04341" w:rsidP="00F04341">
      <w:pPr>
        <w:autoSpaceDE w:val="0"/>
        <w:autoSpaceDN w:val="0"/>
        <w:adjustRightInd w:val="0"/>
        <w:ind w:left="260" w:hangingChars="100" w:hanging="260"/>
        <w:rPr>
          <w:rFonts w:ascii="標楷體" w:eastAsia="標楷體" w:hAnsi="標楷體" w:hint="eastAsia"/>
          <w:sz w:val="26"/>
          <w:szCs w:val="26"/>
        </w:rPr>
      </w:pPr>
      <w:r>
        <w:rPr>
          <w:rFonts w:ascii="標楷體" w:eastAsia="標楷體" w:hAnsi="標楷體" w:hint="eastAsia"/>
          <w:sz w:val="26"/>
          <w:szCs w:val="26"/>
        </w:rPr>
        <w:t>3.</w:t>
      </w:r>
      <w:r w:rsidR="00BC0DA5" w:rsidRPr="00BC0DA5">
        <w:rPr>
          <w:rFonts w:ascii="標楷體" w:eastAsia="標楷體" w:hAnsi="標楷體"/>
          <w:sz w:val="26"/>
          <w:szCs w:val="26"/>
        </w:rPr>
        <w:t xml:space="preserve">無疫苗接種紀錄或是無抗體陽性證明之育齡婦女：孕婦若感染麻疹，易導致胎死腹中或早產；孕婦若感染德國麻疹，胎兒易產生先天性德國麻疹症候群，出現多 項先天性異常。 </w:t>
      </w:r>
    </w:p>
    <w:p w:rsidR="009D51CC" w:rsidRDefault="009D51CC" w:rsidP="00F04341">
      <w:pPr>
        <w:autoSpaceDE w:val="0"/>
        <w:autoSpaceDN w:val="0"/>
        <w:adjustRightInd w:val="0"/>
        <w:ind w:left="260" w:hangingChars="100" w:hanging="260"/>
        <w:rPr>
          <w:rFonts w:ascii="標楷體" w:eastAsia="標楷體" w:hAnsi="標楷體" w:hint="eastAsia"/>
          <w:sz w:val="26"/>
          <w:szCs w:val="26"/>
        </w:rPr>
      </w:pPr>
      <w:r>
        <w:rPr>
          <w:rFonts w:ascii="標楷體" w:eastAsia="標楷體" w:hAnsi="標楷體" w:hint="eastAsia"/>
          <w:sz w:val="26"/>
          <w:szCs w:val="26"/>
        </w:rPr>
        <w:t>4.</w:t>
      </w:r>
      <w:r w:rsidR="00BC0DA5" w:rsidRPr="00BC0DA5">
        <w:rPr>
          <w:rFonts w:ascii="標楷體" w:eastAsia="標楷體" w:hAnsi="標楷體"/>
          <w:sz w:val="26"/>
          <w:szCs w:val="26"/>
        </w:rPr>
        <w:t>前往疫區旅遊者：欲前往流行國家者，在出國前應先了解評估個人之 MMR 疫苗 接種史，以</w:t>
      </w:r>
      <w:proofErr w:type="gramStart"/>
      <w:r w:rsidR="00BC0DA5" w:rsidRPr="00BC0DA5">
        <w:rPr>
          <w:rFonts w:ascii="標楷體" w:eastAsia="標楷體" w:hAnsi="標楷體"/>
          <w:sz w:val="26"/>
          <w:szCs w:val="26"/>
        </w:rPr>
        <w:t>釐</w:t>
      </w:r>
      <w:proofErr w:type="gramEnd"/>
      <w:r w:rsidR="00BC0DA5" w:rsidRPr="00BC0DA5">
        <w:rPr>
          <w:rFonts w:ascii="標楷體" w:eastAsia="標楷體" w:hAnsi="標楷體"/>
          <w:sz w:val="26"/>
          <w:szCs w:val="26"/>
        </w:rPr>
        <w:t xml:space="preserve">清是否具有麻疹、腮腺炎或德國麻疹的抗體保護力。 </w:t>
      </w:r>
    </w:p>
    <w:p w:rsidR="003A65DE" w:rsidRDefault="009D51CC" w:rsidP="00F04341">
      <w:pPr>
        <w:autoSpaceDE w:val="0"/>
        <w:autoSpaceDN w:val="0"/>
        <w:adjustRightInd w:val="0"/>
        <w:ind w:left="260" w:hangingChars="100" w:hanging="260"/>
        <w:rPr>
          <w:rFonts w:ascii="標楷體" w:eastAsia="標楷體" w:hAnsi="標楷體"/>
          <w:sz w:val="26"/>
          <w:szCs w:val="26"/>
          <w:shd w:val="pct15" w:color="auto" w:fill="FFFFFF"/>
        </w:rPr>
      </w:pPr>
      <w:r>
        <w:rPr>
          <w:rFonts w:ascii="標楷體" w:eastAsia="標楷體" w:hAnsi="標楷體" w:hint="eastAsia"/>
          <w:sz w:val="26"/>
          <w:szCs w:val="26"/>
        </w:rPr>
        <w:t>5.</w:t>
      </w:r>
      <w:r w:rsidR="00BC0DA5" w:rsidRPr="009D51CC">
        <w:rPr>
          <w:rFonts w:ascii="標楷體" w:eastAsia="標楷體" w:hAnsi="標楷體"/>
          <w:color w:val="FF0000"/>
          <w:sz w:val="26"/>
          <w:szCs w:val="26"/>
        </w:rPr>
        <w:t>本身對於麻疹不具免疫力之麻疹接觸者：經由醫師評估後，於接觸麻疹病患後 72 小時內，可考慮接種一劑 MMR 疫苗作為暴露後預防。</w:t>
      </w:r>
    </w:p>
    <w:p w:rsidR="00F04341" w:rsidRPr="009D51CC" w:rsidRDefault="003A65DE" w:rsidP="003A65DE">
      <w:pPr>
        <w:autoSpaceDE w:val="0"/>
        <w:autoSpaceDN w:val="0"/>
        <w:adjustRightInd w:val="0"/>
        <w:rPr>
          <w:rFonts w:ascii="標楷體" w:eastAsia="標楷體" w:hAnsi="標楷體" w:hint="eastAsia"/>
          <w:sz w:val="26"/>
          <w:szCs w:val="26"/>
          <w:shd w:val="pct15" w:color="auto" w:fill="FFFFFF"/>
        </w:rPr>
      </w:pPr>
      <w:r w:rsidRPr="009D51CC">
        <w:rPr>
          <w:rFonts w:ascii="標楷體" w:eastAsia="標楷體" w:hAnsi="標楷體" w:cs="____" w:hint="eastAsia"/>
          <w:b/>
          <w:kern w:val="0"/>
          <w:szCs w:val="24"/>
          <w:shd w:val="pct15" w:color="auto" w:fill="FFFFFF"/>
        </w:rPr>
        <w:t>四、</w:t>
      </w:r>
      <w:r w:rsidR="00F04341" w:rsidRPr="009D51CC">
        <w:rPr>
          <w:rFonts w:ascii="標楷體" w:eastAsia="標楷體" w:hAnsi="標楷體"/>
          <w:sz w:val="26"/>
          <w:szCs w:val="26"/>
          <w:shd w:val="pct15" w:color="auto" w:fill="FFFFFF"/>
        </w:rPr>
        <w:t>接種建議</w:t>
      </w:r>
      <w:r w:rsidR="00F04341" w:rsidRPr="009D51CC">
        <w:rPr>
          <w:rFonts w:ascii="標楷體" w:eastAsia="標楷體" w:hAnsi="標楷體" w:hint="eastAsia"/>
          <w:sz w:val="26"/>
          <w:szCs w:val="26"/>
          <w:shd w:val="pct15" w:color="auto" w:fill="FFFFFF"/>
        </w:rPr>
        <w:t>：</w:t>
      </w:r>
    </w:p>
    <w:p w:rsidR="00F04341" w:rsidRDefault="00F04341" w:rsidP="00F04341">
      <w:pPr>
        <w:autoSpaceDE w:val="0"/>
        <w:autoSpaceDN w:val="0"/>
        <w:adjustRightInd w:val="0"/>
        <w:ind w:leftChars="50" w:left="380" w:hangingChars="100" w:hanging="260"/>
        <w:rPr>
          <w:rFonts w:ascii="標楷體" w:eastAsia="標楷體" w:hAnsi="標楷體" w:hint="eastAsia"/>
          <w:sz w:val="26"/>
          <w:szCs w:val="26"/>
        </w:rPr>
      </w:pPr>
      <w:r>
        <w:rPr>
          <w:rFonts w:ascii="標楷體" w:eastAsia="標楷體" w:hAnsi="標楷體" w:hint="eastAsia"/>
          <w:sz w:val="26"/>
          <w:szCs w:val="26"/>
        </w:rPr>
        <w:t>1.</w:t>
      </w:r>
      <w:r w:rsidRPr="00F04341">
        <w:rPr>
          <w:rFonts w:ascii="標楷體" w:eastAsia="標楷體" w:hAnsi="標楷體"/>
          <w:sz w:val="26"/>
          <w:szCs w:val="26"/>
        </w:rPr>
        <w:t>對自身關於麻疹、腮腺炎或德國麻疹的疫苗</w:t>
      </w:r>
      <w:proofErr w:type="gramStart"/>
      <w:r w:rsidRPr="00F04341">
        <w:rPr>
          <w:rFonts w:ascii="標楷體" w:eastAsia="標楷體" w:hAnsi="標楷體"/>
          <w:sz w:val="26"/>
          <w:szCs w:val="26"/>
        </w:rPr>
        <w:t>接種史不清楚</w:t>
      </w:r>
      <w:proofErr w:type="gramEnd"/>
      <w:r w:rsidRPr="00F04341">
        <w:rPr>
          <w:rFonts w:ascii="標楷體" w:eastAsia="標楷體" w:hAnsi="標楷體"/>
          <w:sz w:val="26"/>
          <w:szCs w:val="26"/>
        </w:rPr>
        <w:t>或是未接種時，建議接 受 2 劑的 MMR 疫苗。</w:t>
      </w:r>
      <w:r w:rsidRPr="009D51CC">
        <w:rPr>
          <w:rFonts w:ascii="標楷體" w:eastAsia="標楷體" w:hAnsi="標楷體"/>
          <w:color w:val="FF0000"/>
          <w:sz w:val="26"/>
          <w:szCs w:val="26"/>
        </w:rPr>
        <w:t>兩劑間至少間隔四</w:t>
      </w:r>
      <w:proofErr w:type="gramStart"/>
      <w:r w:rsidRPr="009D51CC">
        <w:rPr>
          <w:rFonts w:ascii="標楷體" w:eastAsia="標楷體" w:hAnsi="標楷體"/>
          <w:color w:val="FF0000"/>
          <w:sz w:val="26"/>
          <w:szCs w:val="26"/>
        </w:rPr>
        <w:t>週</w:t>
      </w:r>
      <w:proofErr w:type="gramEnd"/>
      <w:r w:rsidRPr="009D51CC">
        <w:rPr>
          <w:rFonts w:ascii="標楷體" w:eastAsia="標楷體" w:hAnsi="標楷體"/>
          <w:color w:val="FF0000"/>
          <w:sz w:val="26"/>
          <w:szCs w:val="26"/>
        </w:rPr>
        <w:t>。</w:t>
      </w:r>
      <w:r w:rsidRPr="00F04341">
        <w:rPr>
          <w:rFonts w:ascii="標楷體" w:eastAsia="標楷體" w:hAnsi="標楷體"/>
          <w:sz w:val="26"/>
          <w:szCs w:val="26"/>
        </w:rPr>
        <w:t xml:space="preserve"> </w:t>
      </w:r>
    </w:p>
    <w:p w:rsidR="00F04341" w:rsidRDefault="00F04341" w:rsidP="00F04341">
      <w:pPr>
        <w:autoSpaceDE w:val="0"/>
        <w:autoSpaceDN w:val="0"/>
        <w:adjustRightInd w:val="0"/>
        <w:ind w:leftChars="50" w:left="380" w:hangingChars="100" w:hanging="260"/>
        <w:rPr>
          <w:rFonts w:ascii="標楷體" w:eastAsia="標楷體" w:hAnsi="標楷體" w:hint="eastAsia"/>
          <w:sz w:val="26"/>
          <w:szCs w:val="26"/>
        </w:rPr>
      </w:pPr>
      <w:r>
        <w:rPr>
          <w:rFonts w:ascii="標楷體" w:eastAsia="標楷體" w:hAnsi="標楷體" w:hint="eastAsia"/>
          <w:sz w:val="26"/>
          <w:szCs w:val="26"/>
        </w:rPr>
        <w:t>2.</w:t>
      </w:r>
      <w:r w:rsidRPr="00F04341">
        <w:rPr>
          <w:rFonts w:ascii="標楷體" w:eastAsia="標楷體" w:hAnsi="標楷體"/>
          <w:sz w:val="26"/>
          <w:szCs w:val="26"/>
        </w:rPr>
        <w:t>育齡</w:t>
      </w:r>
      <w:proofErr w:type="gramStart"/>
      <w:r w:rsidRPr="00F04341">
        <w:rPr>
          <w:rFonts w:ascii="標楷體" w:eastAsia="標楷體" w:hAnsi="標楷體"/>
          <w:sz w:val="26"/>
          <w:szCs w:val="26"/>
        </w:rPr>
        <w:t>婦女於孕前</w:t>
      </w:r>
      <w:proofErr w:type="gramEnd"/>
      <w:r w:rsidRPr="00F04341">
        <w:rPr>
          <w:rFonts w:ascii="標楷體" w:eastAsia="標楷體" w:hAnsi="標楷體"/>
          <w:sz w:val="26"/>
          <w:szCs w:val="26"/>
        </w:rPr>
        <w:t>進行優生保健諮詢與檢查時，建議納入麻疹及德國麻疹抗體檢驗。 無抗體者應立即接種 2 劑 MMR 疫苗。</w:t>
      </w:r>
    </w:p>
    <w:p w:rsidR="003A65DE" w:rsidRDefault="00F04341" w:rsidP="00F04341">
      <w:pPr>
        <w:autoSpaceDE w:val="0"/>
        <w:autoSpaceDN w:val="0"/>
        <w:adjustRightInd w:val="0"/>
        <w:ind w:leftChars="50" w:left="380" w:hangingChars="100" w:hanging="260"/>
        <w:rPr>
          <w:rFonts w:ascii="標楷體" w:eastAsia="標楷體" w:hAnsi="標楷體" w:hint="eastAsia"/>
          <w:sz w:val="26"/>
          <w:szCs w:val="26"/>
        </w:rPr>
      </w:pPr>
      <w:r>
        <w:rPr>
          <w:rFonts w:ascii="標楷體" w:eastAsia="標楷體" w:hAnsi="標楷體" w:hint="eastAsia"/>
          <w:sz w:val="26"/>
          <w:szCs w:val="26"/>
        </w:rPr>
        <w:t>3.</w:t>
      </w:r>
      <w:r w:rsidRPr="00F04341">
        <w:rPr>
          <w:rFonts w:ascii="標楷體" w:eastAsia="標楷體" w:hAnsi="標楷體"/>
          <w:sz w:val="26"/>
          <w:szCs w:val="26"/>
        </w:rPr>
        <w:t>懷孕婦女若於產檢時發現德國麻疹抗體陰性，若無疫苗禁忌症，應於生產後盡速 接種一劑 MMR 疫苗。</w:t>
      </w:r>
    </w:p>
    <w:p w:rsidR="00F04341" w:rsidRPr="003A65DE" w:rsidRDefault="00F04341" w:rsidP="00F04341">
      <w:pPr>
        <w:autoSpaceDE w:val="0"/>
        <w:autoSpaceDN w:val="0"/>
        <w:adjustRightInd w:val="0"/>
        <w:ind w:leftChars="50" w:left="360" w:hangingChars="100" w:hanging="240"/>
        <w:rPr>
          <w:rFonts w:ascii="標楷體" w:eastAsia="標楷體" w:hAnsi="標楷體" w:cs="____"/>
          <w:kern w:val="0"/>
          <w:szCs w:val="24"/>
        </w:rPr>
      </w:pPr>
    </w:p>
    <w:p w:rsidR="00F04341" w:rsidRDefault="003A65DE" w:rsidP="00F04341">
      <w:pPr>
        <w:autoSpaceDE w:val="0"/>
        <w:autoSpaceDN w:val="0"/>
        <w:adjustRightInd w:val="0"/>
        <w:rPr>
          <w:rFonts w:hint="eastAsia"/>
        </w:rPr>
      </w:pPr>
      <w:r w:rsidRPr="00E566B0">
        <w:rPr>
          <w:rFonts w:ascii="標楷體" w:eastAsia="標楷體" w:hAnsi="標楷體" w:cs="____" w:hint="eastAsia"/>
          <w:b/>
          <w:kern w:val="0"/>
          <w:szCs w:val="24"/>
          <w:shd w:val="pct15" w:color="auto" w:fill="FFFFFF"/>
        </w:rPr>
        <w:t>五、</w:t>
      </w:r>
      <w:r w:rsidR="00F04341" w:rsidRPr="00F04341">
        <w:rPr>
          <w:rFonts w:ascii="標楷體" w:eastAsia="標楷體" w:hAnsi="標楷體"/>
          <w:b/>
          <w:sz w:val="26"/>
          <w:szCs w:val="26"/>
          <w:shd w:val="pct15" w:color="auto" w:fill="FFFFFF"/>
        </w:rPr>
        <w:t>使用時該注意的特別事項</w:t>
      </w:r>
      <w:r w:rsidR="00F04341">
        <w:rPr>
          <w:rFonts w:hint="eastAsia"/>
        </w:rPr>
        <w:t>：</w:t>
      </w:r>
    </w:p>
    <w:p w:rsidR="00F04341" w:rsidRDefault="00F04341" w:rsidP="00F04341">
      <w:pPr>
        <w:autoSpaceDE w:val="0"/>
        <w:autoSpaceDN w:val="0"/>
        <w:adjustRightInd w:val="0"/>
        <w:rPr>
          <w:rFonts w:ascii="標楷體" w:eastAsia="標楷體" w:hAnsi="標楷體" w:hint="eastAsia"/>
          <w:sz w:val="26"/>
          <w:szCs w:val="26"/>
        </w:rPr>
      </w:pPr>
      <w:r>
        <w:rPr>
          <w:rFonts w:ascii="標楷體" w:eastAsia="標楷體" w:hAnsi="標楷體" w:hint="eastAsia"/>
          <w:sz w:val="26"/>
          <w:szCs w:val="26"/>
        </w:rPr>
        <w:t>1.</w:t>
      </w:r>
      <w:r w:rsidRPr="00F04341">
        <w:rPr>
          <w:rFonts w:ascii="標楷體" w:eastAsia="標楷體" w:hAnsi="標楷體"/>
          <w:sz w:val="26"/>
          <w:szCs w:val="26"/>
        </w:rPr>
        <w:t>若有發燒或急性疾病，宜延後接種。</w:t>
      </w:r>
    </w:p>
    <w:p w:rsidR="00F04341" w:rsidRPr="009D51CC" w:rsidRDefault="00F04341" w:rsidP="00F04341">
      <w:pPr>
        <w:autoSpaceDE w:val="0"/>
        <w:autoSpaceDN w:val="0"/>
        <w:adjustRightInd w:val="0"/>
        <w:ind w:left="260" w:hangingChars="100" w:hanging="260"/>
        <w:rPr>
          <w:rFonts w:ascii="標楷體" w:eastAsia="標楷體" w:hAnsi="標楷體" w:hint="eastAsia"/>
          <w:color w:val="00B0F0"/>
          <w:sz w:val="26"/>
          <w:szCs w:val="26"/>
        </w:rPr>
      </w:pPr>
      <w:r>
        <w:rPr>
          <w:rFonts w:ascii="標楷體" w:eastAsia="標楷體" w:hAnsi="標楷體" w:hint="eastAsia"/>
          <w:sz w:val="26"/>
          <w:szCs w:val="26"/>
        </w:rPr>
        <w:t>2.</w:t>
      </w:r>
      <w:r w:rsidRPr="009D51CC">
        <w:rPr>
          <w:rFonts w:ascii="標楷體" w:eastAsia="標楷體" w:hAnsi="標楷體"/>
          <w:color w:val="00B0F0"/>
          <w:sz w:val="26"/>
          <w:szCs w:val="26"/>
        </w:rPr>
        <w:t>若需同時接種兩種以上之活性疫苗(如 MMR、水痘、黃熱病疫苗)，可同時接種， 或間隔 28 天以上分別予以接種。</w:t>
      </w:r>
    </w:p>
    <w:p w:rsidR="00F04341" w:rsidRDefault="00F04341" w:rsidP="00F04341">
      <w:pPr>
        <w:autoSpaceDE w:val="0"/>
        <w:autoSpaceDN w:val="0"/>
        <w:adjustRightInd w:val="0"/>
        <w:ind w:left="260" w:hangingChars="100" w:hanging="260"/>
        <w:rPr>
          <w:rFonts w:ascii="標楷體" w:eastAsia="標楷體" w:hAnsi="標楷體" w:hint="eastAsia"/>
          <w:sz w:val="26"/>
          <w:szCs w:val="26"/>
        </w:rPr>
      </w:pPr>
      <w:r>
        <w:rPr>
          <w:rFonts w:ascii="標楷體" w:eastAsia="標楷體" w:hAnsi="標楷體" w:hint="eastAsia"/>
          <w:sz w:val="26"/>
          <w:szCs w:val="26"/>
        </w:rPr>
        <w:t>3.</w:t>
      </w:r>
      <w:r w:rsidRPr="00F04341">
        <w:rPr>
          <w:rFonts w:ascii="標楷體" w:eastAsia="標楷體" w:hAnsi="標楷體"/>
          <w:sz w:val="26"/>
          <w:szCs w:val="26"/>
        </w:rPr>
        <w:t>MMR 疫苗雖由雞胚胎細胞培養產製，</w:t>
      </w:r>
      <w:proofErr w:type="gramStart"/>
      <w:r w:rsidRPr="00F04341">
        <w:rPr>
          <w:rFonts w:ascii="標楷體" w:eastAsia="標楷體" w:hAnsi="標楷體"/>
          <w:sz w:val="26"/>
          <w:szCs w:val="26"/>
        </w:rPr>
        <w:t>然而僅含微量</w:t>
      </w:r>
      <w:proofErr w:type="gramEnd"/>
      <w:r w:rsidRPr="00F04341">
        <w:rPr>
          <w:rFonts w:ascii="標楷體" w:eastAsia="標楷體" w:hAnsi="標楷體"/>
          <w:sz w:val="26"/>
          <w:szCs w:val="26"/>
        </w:rPr>
        <w:t xml:space="preserve">之蛋白交叉抗體(ovalbumin)。 對雞蛋過敏者，因施打本疫苗產生過敏反應之機會極低，可在有能力處理過敏反 應之醫療院所接受施打。注射後應於疫苗注射單位觀察三十分鐘，無任何不適 症狀後才離開。 </w:t>
      </w:r>
    </w:p>
    <w:p w:rsidR="00F04341" w:rsidRDefault="00F04341" w:rsidP="00F04341">
      <w:pPr>
        <w:autoSpaceDE w:val="0"/>
        <w:autoSpaceDN w:val="0"/>
        <w:adjustRightInd w:val="0"/>
        <w:ind w:left="260" w:hangingChars="100" w:hanging="260"/>
        <w:rPr>
          <w:rFonts w:ascii="標楷體" w:eastAsia="標楷體" w:hAnsi="標楷體" w:hint="eastAsia"/>
          <w:sz w:val="26"/>
          <w:szCs w:val="26"/>
        </w:rPr>
      </w:pPr>
      <w:r>
        <w:rPr>
          <w:rFonts w:ascii="標楷體" w:eastAsia="標楷體" w:hAnsi="標楷體" w:hint="eastAsia"/>
          <w:sz w:val="26"/>
          <w:szCs w:val="26"/>
        </w:rPr>
        <w:t>4.</w:t>
      </w:r>
      <w:r w:rsidRPr="00F04341">
        <w:rPr>
          <w:rFonts w:ascii="標楷體" w:eastAsia="標楷體" w:hAnsi="標楷體"/>
          <w:sz w:val="26"/>
          <w:szCs w:val="26"/>
        </w:rPr>
        <w:t xml:space="preserve">MMR 接種可與結核菌素試驗(TST)同一天進行，若非同一天，MMR 接種後需間隔 4-6 </w:t>
      </w:r>
      <w:proofErr w:type="gramStart"/>
      <w:r w:rsidRPr="00F04341">
        <w:rPr>
          <w:rFonts w:ascii="標楷體" w:eastAsia="標楷體" w:hAnsi="標楷體"/>
          <w:sz w:val="26"/>
          <w:szCs w:val="26"/>
        </w:rPr>
        <w:t>週</w:t>
      </w:r>
      <w:proofErr w:type="gramEnd"/>
      <w:r w:rsidRPr="00F04341">
        <w:rPr>
          <w:rFonts w:ascii="標楷體" w:eastAsia="標楷體" w:hAnsi="標楷體"/>
          <w:sz w:val="26"/>
          <w:szCs w:val="26"/>
        </w:rPr>
        <w:t>以上方能進行 TST，以免 TST 出現偽陰性[2]。</w:t>
      </w:r>
    </w:p>
    <w:p w:rsidR="00F04341" w:rsidRDefault="00F04341" w:rsidP="00F04341">
      <w:pPr>
        <w:autoSpaceDE w:val="0"/>
        <w:autoSpaceDN w:val="0"/>
        <w:adjustRightInd w:val="0"/>
        <w:ind w:left="260" w:hangingChars="100" w:hanging="260"/>
        <w:rPr>
          <w:rFonts w:ascii="標楷體" w:eastAsia="標楷體" w:hAnsi="標楷體" w:hint="eastAsia"/>
          <w:sz w:val="26"/>
          <w:szCs w:val="26"/>
        </w:rPr>
      </w:pPr>
      <w:r>
        <w:rPr>
          <w:rFonts w:ascii="標楷體" w:eastAsia="標楷體" w:hAnsi="標楷體" w:hint="eastAsia"/>
          <w:sz w:val="26"/>
          <w:szCs w:val="26"/>
        </w:rPr>
        <w:t>5.</w:t>
      </w:r>
      <w:r w:rsidRPr="00F04341">
        <w:rPr>
          <w:rFonts w:ascii="標楷體" w:eastAsia="標楷體" w:hAnsi="標楷體"/>
          <w:sz w:val="26"/>
          <w:szCs w:val="26"/>
        </w:rPr>
        <w:t>血液製劑與 MMR 疫苗接種間隔應注意事項:</w:t>
      </w:r>
    </w:p>
    <w:p w:rsidR="00F04341" w:rsidRDefault="00F04341" w:rsidP="00F04341">
      <w:pPr>
        <w:autoSpaceDE w:val="0"/>
        <w:autoSpaceDN w:val="0"/>
        <w:adjustRightInd w:val="0"/>
        <w:ind w:leftChars="100" w:left="630" w:hangingChars="150" w:hanging="390"/>
        <w:rPr>
          <w:rFonts w:ascii="標楷體" w:eastAsia="標楷體" w:hAnsi="標楷體" w:hint="eastAsia"/>
          <w:sz w:val="26"/>
          <w:szCs w:val="26"/>
        </w:rPr>
      </w:pPr>
      <w:r>
        <w:rPr>
          <w:rFonts w:ascii="標楷體" w:eastAsia="標楷體" w:hAnsi="標楷體" w:hint="eastAsia"/>
          <w:sz w:val="26"/>
          <w:szCs w:val="26"/>
        </w:rPr>
        <w:t>(1)</w:t>
      </w:r>
      <w:r w:rsidRPr="00F04341">
        <w:rPr>
          <w:rFonts w:ascii="標楷體" w:eastAsia="標楷體" w:hAnsi="標楷體"/>
          <w:sz w:val="26"/>
          <w:szCs w:val="26"/>
        </w:rPr>
        <w:t xml:space="preserve">接受一般肌肉注射免疫球蛋白治療或 B 型肝炎免疫球蛋白（HBIG）者，應間隔三個月後再接種 MMR 疫苗。 </w:t>
      </w:r>
    </w:p>
    <w:p w:rsidR="00F04341" w:rsidRDefault="00F04341" w:rsidP="00F04341">
      <w:pPr>
        <w:autoSpaceDE w:val="0"/>
        <w:autoSpaceDN w:val="0"/>
        <w:adjustRightInd w:val="0"/>
        <w:ind w:leftChars="100" w:left="630" w:hangingChars="150" w:hanging="390"/>
        <w:rPr>
          <w:rFonts w:ascii="標楷體" w:eastAsia="標楷體" w:hAnsi="標楷體" w:hint="eastAsia"/>
          <w:sz w:val="26"/>
          <w:szCs w:val="26"/>
        </w:rPr>
      </w:pPr>
      <w:r>
        <w:rPr>
          <w:rFonts w:ascii="標楷體" w:eastAsia="標楷體" w:hAnsi="標楷體" w:hint="eastAsia"/>
          <w:sz w:val="26"/>
          <w:szCs w:val="26"/>
        </w:rPr>
        <w:t>(2)</w:t>
      </w:r>
      <w:r w:rsidRPr="00F04341">
        <w:rPr>
          <w:rFonts w:ascii="標楷體" w:eastAsia="標楷體" w:hAnsi="標楷體"/>
          <w:sz w:val="26"/>
          <w:szCs w:val="26"/>
        </w:rPr>
        <w:t>接觸麻疹感染者六天內，接受肌肉注射免疫球蛋白進行暴露後預防者，應間 隔六個月後再接種 MMR 疫苗。</w:t>
      </w:r>
    </w:p>
    <w:p w:rsidR="00F04341" w:rsidRDefault="00F04341" w:rsidP="00F04341">
      <w:pPr>
        <w:autoSpaceDE w:val="0"/>
        <w:autoSpaceDN w:val="0"/>
        <w:adjustRightInd w:val="0"/>
        <w:ind w:leftChars="100" w:left="630" w:hangingChars="150" w:hanging="390"/>
        <w:rPr>
          <w:rFonts w:ascii="標楷體" w:eastAsia="標楷體" w:hAnsi="標楷體" w:hint="eastAsia"/>
          <w:sz w:val="26"/>
          <w:szCs w:val="26"/>
        </w:rPr>
      </w:pPr>
      <w:r>
        <w:rPr>
          <w:rFonts w:ascii="標楷體" w:eastAsia="標楷體" w:hAnsi="標楷體" w:hint="eastAsia"/>
          <w:sz w:val="26"/>
          <w:szCs w:val="26"/>
        </w:rPr>
        <w:t>(3)</w:t>
      </w:r>
      <w:proofErr w:type="gramStart"/>
      <w:r w:rsidRPr="00F04341">
        <w:rPr>
          <w:rFonts w:ascii="標楷體" w:eastAsia="標楷體" w:hAnsi="標楷體"/>
          <w:sz w:val="26"/>
          <w:szCs w:val="26"/>
        </w:rPr>
        <w:t>輸過血者</w:t>
      </w:r>
      <w:proofErr w:type="gramEnd"/>
      <w:r w:rsidRPr="00F04341">
        <w:rPr>
          <w:rFonts w:ascii="標楷體" w:eastAsia="標楷體" w:hAnsi="標楷體"/>
          <w:sz w:val="26"/>
          <w:szCs w:val="26"/>
        </w:rPr>
        <w:t>，應間隔六個月後再接種 MMR 疫苗。</w:t>
      </w:r>
    </w:p>
    <w:p w:rsidR="00F04341" w:rsidRDefault="00F04341" w:rsidP="00F04341">
      <w:pPr>
        <w:autoSpaceDE w:val="0"/>
        <w:autoSpaceDN w:val="0"/>
        <w:adjustRightInd w:val="0"/>
        <w:ind w:leftChars="100" w:left="630" w:hangingChars="150" w:hanging="390"/>
        <w:rPr>
          <w:rFonts w:ascii="標楷體" w:eastAsia="標楷體" w:hAnsi="標楷體" w:hint="eastAsia"/>
          <w:sz w:val="26"/>
          <w:szCs w:val="26"/>
        </w:rPr>
      </w:pPr>
      <w:r>
        <w:rPr>
          <w:rFonts w:ascii="標楷體" w:eastAsia="標楷體" w:hAnsi="標楷體" w:hint="eastAsia"/>
          <w:sz w:val="26"/>
          <w:szCs w:val="26"/>
        </w:rPr>
        <w:t>(4)</w:t>
      </w:r>
      <w:r w:rsidRPr="00F04341">
        <w:rPr>
          <w:rFonts w:ascii="標楷體" w:eastAsia="標楷體" w:hAnsi="標楷體"/>
          <w:sz w:val="26"/>
          <w:szCs w:val="26"/>
        </w:rPr>
        <w:t xml:space="preserve">曾靜脈注射血漿、血小板製品或靜脈注射高劑量免疫球蛋白治療時，應間隔 十一個月後再接種 MMR 疫苗。 </w:t>
      </w:r>
    </w:p>
    <w:p w:rsidR="004328B9" w:rsidRDefault="00F04341" w:rsidP="009D51CC">
      <w:pPr>
        <w:autoSpaceDE w:val="0"/>
        <w:autoSpaceDN w:val="0"/>
        <w:adjustRightInd w:val="0"/>
        <w:ind w:left="260" w:hangingChars="100" w:hanging="260"/>
        <w:rPr>
          <w:rFonts w:ascii="標楷體" w:eastAsia="標楷體" w:hAnsi="標楷體" w:hint="eastAsia"/>
          <w:sz w:val="26"/>
          <w:szCs w:val="26"/>
        </w:rPr>
      </w:pPr>
      <w:r>
        <w:rPr>
          <w:rFonts w:ascii="標楷體" w:eastAsia="標楷體" w:hAnsi="標楷體" w:hint="eastAsia"/>
          <w:sz w:val="26"/>
          <w:szCs w:val="26"/>
        </w:rPr>
        <w:t>6.</w:t>
      </w:r>
      <w:r w:rsidRPr="009D51CC">
        <w:rPr>
          <w:rFonts w:ascii="標楷體" w:eastAsia="標楷體" w:hAnsi="標楷體"/>
          <w:color w:val="FF0000"/>
          <w:sz w:val="26"/>
          <w:szCs w:val="26"/>
        </w:rPr>
        <w:t>育齡婦女接種 MMR 於一個月內應避免懷孕，</w:t>
      </w:r>
      <w:r w:rsidRPr="00F04341">
        <w:rPr>
          <w:rFonts w:ascii="標楷體" w:eastAsia="標楷體" w:hAnsi="標楷體"/>
          <w:sz w:val="26"/>
          <w:szCs w:val="26"/>
        </w:rPr>
        <w:t xml:space="preserve">但若不慎懷孕，由於胎兒因此感染 先天性德國麻疹之機率甚低，並不需要進行墮胎。 </w:t>
      </w:r>
      <w:r w:rsidRPr="00F04341">
        <w:rPr>
          <w:rFonts w:ascii="標楷體" w:eastAsia="標楷體" w:hAnsi="標楷體"/>
          <w:sz w:val="26"/>
          <w:szCs w:val="26"/>
        </w:rPr>
        <w:t xml:space="preserve"> </w:t>
      </w:r>
    </w:p>
    <w:p w:rsidR="00F04341" w:rsidRPr="009D51CC" w:rsidRDefault="00F04341" w:rsidP="00F04341">
      <w:pPr>
        <w:autoSpaceDE w:val="0"/>
        <w:autoSpaceDN w:val="0"/>
        <w:adjustRightInd w:val="0"/>
        <w:rPr>
          <w:rFonts w:ascii="標楷體" w:eastAsia="標楷體" w:hAnsi="標楷體" w:hint="eastAsia"/>
          <w:sz w:val="26"/>
          <w:szCs w:val="26"/>
        </w:rPr>
      </w:pPr>
    </w:p>
    <w:p w:rsidR="00F04341" w:rsidRPr="00826E98" w:rsidRDefault="00F04341" w:rsidP="009D51CC">
      <w:pPr>
        <w:autoSpaceDE w:val="0"/>
        <w:autoSpaceDN w:val="0"/>
        <w:adjustRightInd w:val="0"/>
        <w:ind w:firstLineChars="100" w:firstLine="260"/>
        <w:rPr>
          <w:rFonts w:ascii="標楷體" w:eastAsia="標楷體" w:hAnsi="標楷體" w:hint="eastAsia"/>
          <w:b/>
          <w:sz w:val="26"/>
          <w:szCs w:val="26"/>
        </w:rPr>
      </w:pPr>
      <w:r w:rsidRPr="00826E98">
        <w:rPr>
          <w:rFonts w:ascii="標楷體" w:eastAsia="標楷體" w:hAnsi="標楷體" w:hint="eastAsia"/>
          <w:b/>
          <w:sz w:val="26"/>
          <w:szCs w:val="26"/>
        </w:rPr>
        <w:t>參考文獻</w:t>
      </w:r>
      <w:r w:rsidR="00826E98" w:rsidRPr="00826E98">
        <w:rPr>
          <w:rFonts w:ascii="標楷體" w:eastAsia="標楷體" w:hAnsi="標楷體" w:hint="eastAsia"/>
          <w:b/>
          <w:sz w:val="26"/>
          <w:szCs w:val="26"/>
        </w:rPr>
        <w:t>：</w:t>
      </w:r>
    </w:p>
    <w:p w:rsidR="00826E98" w:rsidRPr="00826E98" w:rsidRDefault="00F04341" w:rsidP="009D51CC">
      <w:pPr>
        <w:autoSpaceDE w:val="0"/>
        <w:autoSpaceDN w:val="0"/>
        <w:adjustRightInd w:val="0"/>
        <w:ind w:firstLineChars="100" w:firstLine="260"/>
        <w:rPr>
          <w:rFonts w:ascii="標楷體" w:eastAsia="標楷體" w:hAnsi="標楷體" w:hint="eastAsia"/>
          <w:b/>
          <w:sz w:val="26"/>
          <w:szCs w:val="26"/>
        </w:rPr>
      </w:pPr>
      <w:r w:rsidRPr="00826E98">
        <w:rPr>
          <w:rFonts w:ascii="標楷體" w:eastAsia="標楷體" w:hAnsi="標楷體"/>
          <w:b/>
          <w:sz w:val="26"/>
          <w:szCs w:val="26"/>
        </w:rPr>
        <w:t>成人接種麻疹-腮腺炎-德國麻疹(MMR)疫苗建議</w:t>
      </w:r>
    </w:p>
    <w:p w:rsidR="00F04341" w:rsidRPr="00826E98" w:rsidRDefault="00826E98" w:rsidP="009D51CC">
      <w:pPr>
        <w:autoSpaceDE w:val="0"/>
        <w:autoSpaceDN w:val="0"/>
        <w:adjustRightInd w:val="0"/>
        <w:ind w:leftChars="100" w:left="370" w:hangingChars="50" w:hanging="130"/>
        <w:rPr>
          <w:rFonts w:ascii="標楷體" w:eastAsia="標楷體" w:hAnsi="標楷體"/>
          <w:b/>
          <w:sz w:val="26"/>
          <w:szCs w:val="26"/>
        </w:rPr>
      </w:pPr>
      <w:r w:rsidRPr="00826E98">
        <w:rPr>
          <w:rFonts w:ascii="標楷體" w:eastAsia="標楷體" w:hAnsi="標楷體" w:hint="eastAsia"/>
          <w:b/>
          <w:sz w:val="26"/>
          <w:szCs w:val="26"/>
        </w:rPr>
        <w:t>(</w:t>
      </w:r>
      <w:r w:rsidR="00F04341" w:rsidRPr="00826E98">
        <w:rPr>
          <w:rFonts w:ascii="標楷體" w:eastAsia="標楷體" w:hAnsi="標楷體"/>
          <w:b/>
          <w:sz w:val="26"/>
          <w:szCs w:val="26"/>
        </w:rPr>
        <w:t>衛生署傳染病防治諮詢委員會預防接種組成人疫苗及旅遊醫學疫苗工作小組 陳如欣、陳淑芳、劉定萍</w:t>
      </w:r>
      <w:r w:rsidRPr="00826E98">
        <w:rPr>
          <w:rFonts w:ascii="標楷體" w:eastAsia="標楷體" w:hAnsi="標楷體" w:hint="eastAsia"/>
          <w:b/>
          <w:sz w:val="26"/>
          <w:szCs w:val="26"/>
        </w:rPr>
        <w:t>)</w:t>
      </w:r>
    </w:p>
    <w:p w:rsidR="00826E98" w:rsidRDefault="00826E98" w:rsidP="004328B9">
      <w:pPr>
        <w:ind w:right="120"/>
        <w:jc w:val="right"/>
        <w:rPr>
          <w:rFonts w:ascii="標楷體" w:eastAsia="標楷體" w:hAnsi="標楷體" w:hint="eastAsia"/>
          <w:b/>
        </w:rPr>
      </w:pPr>
    </w:p>
    <w:p w:rsidR="00826E98" w:rsidRDefault="00826E98" w:rsidP="004328B9">
      <w:pPr>
        <w:ind w:right="120"/>
        <w:jc w:val="right"/>
        <w:rPr>
          <w:rFonts w:ascii="標楷體" w:eastAsia="標楷體" w:hAnsi="標楷體" w:hint="eastAsia"/>
          <w:b/>
        </w:rPr>
      </w:pPr>
    </w:p>
    <w:p w:rsidR="009D51CC" w:rsidRDefault="009D51CC" w:rsidP="004328B9">
      <w:pPr>
        <w:ind w:right="120"/>
        <w:jc w:val="right"/>
        <w:rPr>
          <w:rFonts w:ascii="標楷體" w:eastAsia="標楷體" w:hAnsi="標楷體" w:hint="eastAsia"/>
          <w:b/>
        </w:rPr>
      </w:pPr>
    </w:p>
    <w:p w:rsidR="009D51CC" w:rsidRDefault="009D51CC" w:rsidP="004328B9">
      <w:pPr>
        <w:ind w:right="120"/>
        <w:jc w:val="right"/>
        <w:rPr>
          <w:rFonts w:ascii="標楷體" w:eastAsia="標楷體" w:hAnsi="標楷體" w:hint="eastAsia"/>
          <w:b/>
        </w:rPr>
      </w:pPr>
    </w:p>
    <w:p w:rsidR="009D51CC" w:rsidRDefault="009D51CC" w:rsidP="004328B9">
      <w:pPr>
        <w:ind w:right="120"/>
        <w:jc w:val="right"/>
        <w:rPr>
          <w:rFonts w:ascii="標楷體" w:eastAsia="標楷體" w:hAnsi="標楷體" w:hint="eastAsia"/>
          <w:b/>
        </w:rPr>
      </w:pPr>
    </w:p>
    <w:p w:rsidR="009D51CC" w:rsidRDefault="009D51CC" w:rsidP="004328B9">
      <w:pPr>
        <w:ind w:right="120"/>
        <w:jc w:val="right"/>
        <w:rPr>
          <w:rFonts w:ascii="標楷體" w:eastAsia="標楷體" w:hAnsi="標楷體" w:hint="eastAsia"/>
          <w:b/>
        </w:rPr>
      </w:pPr>
    </w:p>
    <w:p w:rsidR="009D51CC" w:rsidRDefault="009D51CC" w:rsidP="004328B9">
      <w:pPr>
        <w:ind w:right="120"/>
        <w:jc w:val="right"/>
        <w:rPr>
          <w:rFonts w:ascii="標楷體" w:eastAsia="標楷體" w:hAnsi="標楷體" w:hint="eastAsia"/>
          <w:b/>
        </w:rPr>
      </w:pPr>
    </w:p>
    <w:p w:rsidR="009D51CC" w:rsidRDefault="009D51CC" w:rsidP="004328B9">
      <w:pPr>
        <w:ind w:right="120"/>
        <w:jc w:val="right"/>
        <w:rPr>
          <w:rFonts w:ascii="標楷體" w:eastAsia="標楷體" w:hAnsi="標楷體" w:hint="eastAsia"/>
          <w:b/>
        </w:rPr>
      </w:pPr>
    </w:p>
    <w:p w:rsidR="009D51CC" w:rsidRPr="009D51CC" w:rsidRDefault="009D51CC" w:rsidP="004328B9">
      <w:pPr>
        <w:ind w:right="120"/>
        <w:jc w:val="right"/>
        <w:rPr>
          <w:rFonts w:ascii="標楷體" w:eastAsia="標楷體" w:hAnsi="標楷體" w:hint="eastAsia"/>
          <w:b/>
        </w:rPr>
      </w:pPr>
    </w:p>
    <w:p w:rsidR="004328B9" w:rsidRPr="00E22FD0" w:rsidRDefault="004328B9" w:rsidP="009D51CC">
      <w:pPr>
        <w:ind w:right="480"/>
        <w:jc w:val="right"/>
        <w:rPr>
          <w:rFonts w:ascii="標楷體" w:eastAsia="標楷體" w:hAnsi="標楷體"/>
          <w:b/>
        </w:rPr>
      </w:pPr>
      <w:r w:rsidRPr="00E22FD0">
        <w:rPr>
          <w:rFonts w:ascii="標楷體" w:eastAsia="標楷體" w:hAnsi="標楷體" w:hint="eastAsia"/>
          <w:b/>
        </w:rPr>
        <w:t>諮詢電話：07-7613111轉1119</w:t>
      </w:r>
    </w:p>
    <w:p w:rsidR="004328B9" w:rsidRPr="00E22FD0" w:rsidRDefault="004328B9" w:rsidP="009D51CC">
      <w:pPr>
        <w:ind w:firstLineChars="1900" w:firstLine="4564"/>
        <w:rPr>
          <w:rFonts w:ascii="標楷體" w:eastAsia="標楷體" w:hAnsi="標楷體"/>
          <w:b/>
        </w:rPr>
      </w:pPr>
      <w:bookmarkStart w:id="0" w:name="_GoBack"/>
      <w:bookmarkEnd w:id="0"/>
      <w:r w:rsidRPr="00E22FD0">
        <w:rPr>
          <w:rFonts w:ascii="標楷體" w:eastAsia="標楷體" w:hAnsi="標楷體" w:hint="eastAsia"/>
          <w:b/>
        </w:rPr>
        <w:t>杏和醫院 藥劑科關心您</w:t>
      </w:r>
    </w:p>
    <w:sectPr w:rsidR="004328B9" w:rsidRPr="00E22FD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D1" w:rsidRDefault="005B58D1" w:rsidP="00C629AC">
      <w:r>
        <w:separator/>
      </w:r>
    </w:p>
  </w:endnote>
  <w:endnote w:type="continuationSeparator" w:id="0">
    <w:p w:rsidR="005B58D1" w:rsidRDefault="005B58D1" w:rsidP="00C6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___">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____">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D1" w:rsidRDefault="005B58D1" w:rsidP="00C629AC">
      <w:r>
        <w:separator/>
      </w:r>
    </w:p>
  </w:footnote>
  <w:footnote w:type="continuationSeparator" w:id="0">
    <w:p w:rsidR="005B58D1" w:rsidRDefault="005B58D1" w:rsidP="00C62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DE"/>
    <w:rsid w:val="000F2A0A"/>
    <w:rsid w:val="003A65DE"/>
    <w:rsid w:val="004328B9"/>
    <w:rsid w:val="005B58D1"/>
    <w:rsid w:val="00800C13"/>
    <w:rsid w:val="00826E98"/>
    <w:rsid w:val="00945238"/>
    <w:rsid w:val="009D51CC"/>
    <w:rsid w:val="00BC0DA5"/>
    <w:rsid w:val="00C629AC"/>
    <w:rsid w:val="00CA6CAB"/>
    <w:rsid w:val="00E566B0"/>
    <w:rsid w:val="00F04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A65DE"/>
    <w:pPr>
      <w:keepNext/>
      <w:outlineLvl w:val="0"/>
    </w:pPr>
    <w:rPr>
      <w:rFonts w:ascii="___" w:eastAsia="___" w:cs="___"/>
      <w:b/>
      <w:kern w:val="0"/>
      <w:szCs w:val="24"/>
    </w:rPr>
  </w:style>
  <w:style w:type="paragraph" w:styleId="2">
    <w:name w:val="heading 2"/>
    <w:basedOn w:val="a"/>
    <w:next w:val="a"/>
    <w:link w:val="20"/>
    <w:uiPriority w:val="9"/>
    <w:unhideWhenUsed/>
    <w:qFormat/>
    <w:rsid w:val="003A65DE"/>
    <w:pPr>
      <w:keepNext/>
      <w:jc w:val="center"/>
      <w:outlineLvl w:val="1"/>
    </w:pPr>
    <w:rPr>
      <w:rFonts w:ascii="標楷體" w:eastAsia="標楷體" w:hAnsi="標楷體" w:cs="___"/>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3A65DE"/>
    <w:rPr>
      <w:rFonts w:ascii="___" w:eastAsia="___" w:cs="___"/>
      <w:b/>
      <w:kern w:val="0"/>
      <w:szCs w:val="24"/>
    </w:rPr>
  </w:style>
  <w:style w:type="character" w:customStyle="1" w:styleId="20">
    <w:name w:val="標題 2 字元"/>
    <w:basedOn w:val="a0"/>
    <w:link w:val="2"/>
    <w:uiPriority w:val="9"/>
    <w:rsid w:val="003A65DE"/>
    <w:rPr>
      <w:rFonts w:ascii="標楷體" w:eastAsia="標楷體" w:hAnsi="標楷體" w:cs="___"/>
      <w:b/>
      <w:kern w:val="0"/>
      <w:sz w:val="28"/>
      <w:szCs w:val="28"/>
    </w:rPr>
  </w:style>
  <w:style w:type="paragraph" w:styleId="a4">
    <w:name w:val="Balloon Text"/>
    <w:basedOn w:val="a"/>
    <w:link w:val="a5"/>
    <w:uiPriority w:val="99"/>
    <w:semiHidden/>
    <w:unhideWhenUsed/>
    <w:rsid w:val="003A65D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A65DE"/>
    <w:rPr>
      <w:rFonts w:asciiTheme="majorHAnsi" w:eastAsiaTheme="majorEastAsia" w:hAnsiTheme="majorHAnsi" w:cstheme="majorBidi"/>
      <w:sz w:val="18"/>
      <w:szCs w:val="18"/>
    </w:rPr>
  </w:style>
  <w:style w:type="paragraph" w:styleId="a6">
    <w:name w:val="header"/>
    <w:basedOn w:val="a"/>
    <w:link w:val="a7"/>
    <w:uiPriority w:val="99"/>
    <w:unhideWhenUsed/>
    <w:rsid w:val="00C629AC"/>
    <w:pPr>
      <w:tabs>
        <w:tab w:val="center" w:pos="4153"/>
        <w:tab w:val="right" w:pos="8306"/>
      </w:tabs>
      <w:snapToGrid w:val="0"/>
    </w:pPr>
    <w:rPr>
      <w:sz w:val="20"/>
      <w:szCs w:val="20"/>
    </w:rPr>
  </w:style>
  <w:style w:type="character" w:customStyle="1" w:styleId="a7">
    <w:name w:val="頁首 字元"/>
    <w:basedOn w:val="a0"/>
    <w:link w:val="a6"/>
    <w:uiPriority w:val="99"/>
    <w:rsid w:val="00C629AC"/>
    <w:rPr>
      <w:sz w:val="20"/>
      <w:szCs w:val="20"/>
    </w:rPr>
  </w:style>
  <w:style w:type="paragraph" w:styleId="a8">
    <w:name w:val="footer"/>
    <w:basedOn w:val="a"/>
    <w:link w:val="a9"/>
    <w:uiPriority w:val="99"/>
    <w:unhideWhenUsed/>
    <w:rsid w:val="00C629AC"/>
    <w:pPr>
      <w:tabs>
        <w:tab w:val="center" w:pos="4153"/>
        <w:tab w:val="right" w:pos="8306"/>
      </w:tabs>
      <w:snapToGrid w:val="0"/>
    </w:pPr>
    <w:rPr>
      <w:sz w:val="20"/>
      <w:szCs w:val="20"/>
    </w:rPr>
  </w:style>
  <w:style w:type="character" w:customStyle="1" w:styleId="a9">
    <w:name w:val="頁尾 字元"/>
    <w:basedOn w:val="a0"/>
    <w:link w:val="a8"/>
    <w:uiPriority w:val="99"/>
    <w:rsid w:val="00C629A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A65DE"/>
    <w:pPr>
      <w:keepNext/>
      <w:outlineLvl w:val="0"/>
    </w:pPr>
    <w:rPr>
      <w:rFonts w:ascii="___" w:eastAsia="___" w:cs="___"/>
      <w:b/>
      <w:kern w:val="0"/>
      <w:szCs w:val="24"/>
    </w:rPr>
  </w:style>
  <w:style w:type="paragraph" w:styleId="2">
    <w:name w:val="heading 2"/>
    <w:basedOn w:val="a"/>
    <w:next w:val="a"/>
    <w:link w:val="20"/>
    <w:uiPriority w:val="9"/>
    <w:unhideWhenUsed/>
    <w:qFormat/>
    <w:rsid w:val="003A65DE"/>
    <w:pPr>
      <w:keepNext/>
      <w:jc w:val="center"/>
      <w:outlineLvl w:val="1"/>
    </w:pPr>
    <w:rPr>
      <w:rFonts w:ascii="標楷體" w:eastAsia="標楷體" w:hAnsi="標楷體" w:cs="___"/>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3A65DE"/>
    <w:rPr>
      <w:rFonts w:ascii="___" w:eastAsia="___" w:cs="___"/>
      <w:b/>
      <w:kern w:val="0"/>
      <w:szCs w:val="24"/>
    </w:rPr>
  </w:style>
  <w:style w:type="character" w:customStyle="1" w:styleId="20">
    <w:name w:val="標題 2 字元"/>
    <w:basedOn w:val="a0"/>
    <w:link w:val="2"/>
    <w:uiPriority w:val="9"/>
    <w:rsid w:val="003A65DE"/>
    <w:rPr>
      <w:rFonts w:ascii="標楷體" w:eastAsia="標楷體" w:hAnsi="標楷體" w:cs="___"/>
      <w:b/>
      <w:kern w:val="0"/>
      <w:sz w:val="28"/>
      <w:szCs w:val="28"/>
    </w:rPr>
  </w:style>
  <w:style w:type="paragraph" w:styleId="a4">
    <w:name w:val="Balloon Text"/>
    <w:basedOn w:val="a"/>
    <w:link w:val="a5"/>
    <w:uiPriority w:val="99"/>
    <w:semiHidden/>
    <w:unhideWhenUsed/>
    <w:rsid w:val="003A65D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A65DE"/>
    <w:rPr>
      <w:rFonts w:asciiTheme="majorHAnsi" w:eastAsiaTheme="majorEastAsia" w:hAnsiTheme="majorHAnsi" w:cstheme="majorBidi"/>
      <w:sz w:val="18"/>
      <w:szCs w:val="18"/>
    </w:rPr>
  </w:style>
  <w:style w:type="paragraph" w:styleId="a6">
    <w:name w:val="header"/>
    <w:basedOn w:val="a"/>
    <w:link w:val="a7"/>
    <w:uiPriority w:val="99"/>
    <w:unhideWhenUsed/>
    <w:rsid w:val="00C629AC"/>
    <w:pPr>
      <w:tabs>
        <w:tab w:val="center" w:pos="4153"/>
        <w:tab w:val="right" w:pos="8306"/>
      </w:tabs>
      <w:snapToGrid w:val="0"/>
    </w:pPr>
    <w:rPr>
      <w:sz w:val="20"/>
      <w:szCs w:val="20"/>
    </w:rPr>
  </w:style>
  <w:style w:type="character" w:customStyle="1" w:styleId="a7">
    <w:name w:val="頁首 字元"/>
    <w:basedOn w:val="a0"/>
    <w:link w:val="a6"/>
    <w:uiPriority w:val="99"/>
    <w:rsid w:val="00C629AC"/>
    <w:rPr>
      <w:sz w:val="20"/>
      <w:szCs w:val="20"/>
    </w:rPr>
  </w:style>
  <w:style w:type="paragraph" w:styleId="a8">
    <w:name w:val="footer"/>
    <w:basedOn w:val="a"/>
    <w:link w:val="a9"/>
    <w:uiPriority w:val="99"/>
    <w:unhideWhenUsed/>
    <w:rsid w:val="00C629AC"/>
    <w:pPr>
      <w:tabs>
        <w:tab w:val="center" w:pos="4153"/>
        <w:tab w:val="right" w:pos="8306"/>
      </w:tabs>
      <w:snapToGrid w:val="0"/>
    </w:pPr>
    <w:rPr>
      <w:sz w:val="20"/>
      <w:szCs w:val="20"/>
    </w:rPr>
  </w:style>
  <w:style w:type="character" w:customStyle="1" w:styleId="a9">
    <w:name w:val="頁尾 字元"/>
    <w:basedOn w:val="a0"/>
    <w:link w:val="a8"/>
    <w:uiPriority w:val="99"/>
    <w:rsid w:val="00C629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232</Words>
  <Characters>1323</Characters>
  <Application>Microsoft Office Word</Application>
  <DocSecurity>0</DocSecurity>
  <Lines>11</Lines>
  <Paragraphs>3</Paragraphs>
  <ScaleCrop>false</ScaleCrop>
  <Company>SYNNEX</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2019-03-05T06:00:00Z</cp:lastPrinted>
  <dcterms:created xsi:type="dcterms:W3CDTF">2019-03-05T06:00:00Z</dcterms:created>
  <dcterms:modified xsi:type="dcterms:W3CDTF">2019-03-05T06:06:00Z</dcterms:modified>
</cp:coreProperties>
</file>